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DB6151" w:rsidTr="00F10301">
        <w:tc>
          <w:tcPr>
            <w:tcW w:w="8363" w:type="dxa"/>
          </w:tcPr>
          <w:p w:rsidR="00DB6151" w:rsidRPr="00624A42" w:rsidRDefault="00DB6151" w:rsidP="00F84999">
            <w:pPr>
              <w:pStyle w:val="FileNumber0"/>
              <w:rPr>
                <w:sz w:val="28"/>
                <w:u w:val="single"/>
                <w:rtl/>
              </w:rPr>
            </w:pPr>
            <w:r>
              <w:rPr>
                <w:u w:val="single"/>
                <w:rtl/>
              </w:rPr>
              <w:t>בבית המשפט העליון בשבתו כבית משפט גבוה לצדק</w:t>
            </w:r>
          </w:p>
        </w:tc>
      </w:tr>
    </w:tbl>
    <w:p w:rsidR="00DB6151" w:rsidRDefault="00DB6151" w:rsidP="00DB6151">
      <w:pPr>
        <w:jc w:val="right"/>
        <w:rPr>
          <w:rFonts w:cs="Miriam"/>
          <w:b/>
          <w:bCs/>
          <w:u w:val="single"/>
        </w:rPr>
      </w:pPr>
    </w:p>
    <w:tbl>
      <w:tblPr>
        <w:bidiVisual/>
        <w:tblW w:w="8363" w:type="dxa"/>
        <w:tblLook w:val="0000" w:firstRow="0" w:lastRow="0" w:firstColumn="0" w:lastColumn="0" w:noHBand="0" w:noVBand="0"/>
      </w:tblPr>
      <w:tblGrid>
        <w:gridCol w:w="8363"/>
      </w:tblGrid>
      <w:tr w:rsidR="00DB6151" w:rsidTr="00F84999">
        <w:trPr>
          <w:trHeight w:val="342"/>
        </w:trPr>
        <w:tc>
          <w:tcPr>
            <w:tcW w:w="9828" w:type="dxa"/>
          </w:tcPr>
          <w:p w:rsidR="00DB6151" w:rsidRPr="00810894" w:rsidRDefault="00DB6151" w:rsidP="00F84999">
            <w:pPr>
              <w:pStyle w:val="FileNumber"/>
              <w:rPr>
                <w:sz w:val="28"/>
                <w:szCs w:val="28"/>
              </w:rPr>
            </w:pPr>
            <w:bookmarkStart w:id="0" w:name="casename_body"/>
            <w:r>
              <w:rPr>
                <w:sz w:val="28"/>
                <w:szCs w:val="28"/>
                <w:rtl/>
              </w:rPr>
              <w:t xml:space="preserve">בג"ץ </w:t>
            </w:r>
            <w:bookmarkStart w:id="1" w:name="_GoBack"/>
            <w:r>
              <w:rPr>
                <w:sz w:val="28"/>
                <w:szCs w:val="28"/>
                <w:rtl/>
              </w:rPr>
              <w:t>3823/22</w:t>
            </w:r>
            <w:bookmarkEnd w:id="1"/>
          </w:p>
        </w:tc>
      </w:tr>
      <w:bookmarkEnd w:id="0"/>
    </w:tbl>
    <w:p w:rsidR="00DB6151" w:rsidRDefault="00DB6151" w:rsidP="00DB6151">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DB6151" w:rsidTr="00F84999">
        <w:trPr>
          <w:trHeight w:val="287"/>
        </w:trPr>
        <w:tc>
          <w:tcPr>
            <w:tcW w:w="3261" w:type="dxa"/>
          </w:tcPr>
          <w:p w:rsidR="00DB6151" w:rsidRDefault="00DB6151" w:rsidP="00F84999">
            <w:pPr>
              <w:pStyle w:val="BodyRuller"/>
              <w:rPr>
                <w:rFonts w:cs="Miriam"/>
                <w:b/>
                <w:bCs/>
                <w:u w:val="single"/>
              </w:rPr>
            </w:pPr>
            <w:r>
              <w:rPr>
                <w:rFonts w:hint="cs"/>
                <w:rtl/>
              </w:rPr>
              <w:t>ל</w:t>
            </w:r>
            <w:r>
              <w:rPr>
                <w:rtl/>
              </w:rPr>
              <w:t>פני:</w:t>
            </w:r>
            <w:r>
              <w:rPr>
                <w:rtl/>
              </w:rPr>
              <w:tab/>
            </w:r>
          </w:p>
        </w:tc>
        <w:tc>
          <w:tcPr>
            <w:tcW w:w="5239" w:type="dxa"/>
          </w:tcPr>
          <w:p w:rsidR="00DB6151" w:rsidRDefault="00DB6151" w:rsidP="00F84999">
            <w:pPr>
              <w:pStyle w:val="BodyRuller"/>
            </w:pPr>
            <w:r>
              <w:rPr>
                <w:rtl/>
              </w:rPr>
              <w:t>כבוד השופט נ' סולברג</w:t>
            </w:r>
          </w:p>
        </w:tc>
      </w:tr>
      <w:tr w:rsidR="00DB6151" w:rsidTr="00F84999">
        <w:trPr>
          <w:trHeight w:val="287"/>
        </w:trPr>
        <w:tc>
          <w:tcPr>
            <w:tcW w:w="3261" w:type="dxa"/>
          </w:tcPr>
          <w:p w:rsidR="00DB6151" w:rsidRDefault="00DB6151" w:rsidP="00F84999">
            <w:pPr>
              <w:pStyle w:val="BodyRuller"/>
              <w:rPr>
                <w:rtl/>
              </w:rPr>
            </w:pPr>
          </w:p>
        </w:tc>
        <w:tc>
          <w:tcPr>
            <w:tcW w:w="5239" w:type="dxa"/>
          </w:tcPr>
          <w:p w:rsidR="00DB6151" w:rsidRDefault="00DB6151" w:rsidP="00F84999">
            <w:pPr>
              <w:pStyle w:val="BodyRuller"/>
              <w:rPr>
                <w:rtl/>
              </w:rPr>
            </w:pPr>
            <w:r>
              <w:rPr>
                <w:rtl/>
              </w:rPr>
              <w:t>כבוד השופטת ד' ברק-ארז</w:t>
            </w:r>
          </w:p>
        </w:tc>
      </w:tr>
      <w:tr w:rsidR="00DB6151" w:rsidTr="00F84999">
        <w:trPr>
          <w:trHeight w:val="287"/>
        </w:trPr>
        <w:tc>
          <w:tcPr>
            <w:tcW w:w="3261" w:type="dxa"/>
          </w:tcPr>
          <w:p w:rsidR="00DB6151" w:rsidRDefault="00DB6151" w:rsidP="00F84999">
            <w:pPr>
              <w:pStyle w:val="BodyRuller"/>
              <w:rPr>
                <w:rtl/>
              </w:rPr>
            </w:pPr>
          </w:p>
        </w:tc>
        <w:tc>
          <w:tcPr>
            <w:tcW w:w="5239" w:type="dxa"/>
          </w:tcPr>
          <w:p w:rsidR="00DB6151" w:rsidRDefault="00DB6151" w:rsidP="00F84999">
            <w:pPr>
              <w:pStyle w:val="BodyRuller"/>
              <w:rPr>
                <w:rtl/>
              </w:rPr>
            </w:pPr>
            <w:r>
              <w:rPr>
                <w:rtl/>
              </w:rPr>
              <w:t>כבוד השופט ח' כבוב</w:t>
            </w:r>
          </w:p>
        </w:tc>
      </w:tr>
    </w:tbl>
    <w:p w:rsidR="00DB6151" w:rsidRDefault="00DB6151" w:rsidP="00DB6151">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B6151" w:rsidTr="00F84999">
        <w:trPr>
          <w:trHeight w:val="287"/>
        </w:trPr>
        <w:tc>
          <w:tcPr>
            <w:tcW w:w="3261" w:type="dxa"/>
          </w:tcPr>
          <w:p w:rsidR="00DB6151" w:rsidRPr="00E75223" w:rsidRDefault="00DB6151" w:rsidP="00F84999">
            <w:pPr>
              <w:pStyle w:val="BodyRuller"/>
              <w:rPr>
                <w:rFonts w:ascii="David" w:hAnsi="David"/>
              </w:rPr>
            </w:pPr>
            <w:r>
              <w:rPr>
                <w:rFonts w:ascii="David" w:hAnsi="David"/>
                <w:rtl/>
              </w:rPr>
              <w:t>העותר:</w:t>
            </w:r>
          </w:p>
        </w:tc>
        <w:tc>
          <w:tcPr>
            <w:tcW w:w="5239" w:type="dxa"/>
          </w:tcPr>
          <w:p w:rsidR="00DB6151" w:rsidRDefault="00DB6151" w:rsidP="00F84999">
            <w:pPr>
              <w:pStyle w:val="BodyRuller"/>
            </w:pPr>
            <w:r>
              <w:rPr>
                <w:rtl/>
              </w:rPr>
              <w:t>בנימין נתניהו</w:t>
            </w:r>
          </w:p>
        </w:tc>
      </w:tr>
    </w:tbl>
    <w:p w:rsidR="00DB6151" w:rsidRDefault="00DB6151" w:rsidP="00DB6151">
      <w:pPr>
        <w:pStyle w:val="Ruller3"/>
      </w:pPr>
    </w:p>
    <w:tbl>
      <w:tblPr>
        <w:bidiVisual/>
        <w:tblW w:w="8363" w:type="dxa"/>
        <w:tblLook w:val="0000" w:firstRow="0" w:lastRow="0" w:firstColumn="0" w:lastColumn="0" w:noHBand="0" w:noVBand="0"/>
      </w:tblPr>
      <w:tblGrid>
        <w:gridCol w:w="3222"/>
        <w:gridCol w:w="5141"/>
      </w:tblGrid>
      <w:tr w:rsidR="00DB6151" w:rsidTr="00F84999">
        <w:tc>
          <w:tcPr>
            <w:tcW w:w="3284" w:type="dxa"/>
          </w:tcPr>
          <w:p w:rsidR="00DB6151" w:rsidRDefault="00DB6151" w:rsidP="00F84999">
            <w:pPr>
              <w:pStyle w:val="BodyRuller"/>
            </w:pPr>
          </w:p>
        </w:tc>
        <w:tc>
          <w:tcPr>
            <w:tcW w:w="5238" w:type="dxa"/>
          </w:tcPr>
          <w:p w:rsidR="00DB6151" w:rsidRDefault="00DB6151" w:rsidP="00F84999">
            <w:pPr>
              <w:pStyle w:val="BodyRuller"/>
            </w:pPr>
            <w:r>
              <w:rPr>
                <w:rFonts w:hint="cs"/>
                <w:rtl/>
              </w:rPr>
              <w:t>נ</w:t>
            </w:r>
            <w:r>
              <w:t xml:space="preserve">  </w:t>
            </w:r>
            <w:r>
              <w:rPr>
                <w:rFonts w:hint="cs"/>
                <w:rtl/>
              </w:rPr>
              <w:t>ג</w:t>
            </w:r>
            <w:r>
              <w:t xml:space="preserve">  </w:t>
            </w:r>
            <w:r>
              <w:rPr>
                <w:rFonts w:hint="cs"/>
                <w:rtl/>
              </w:rPr>
              <w:t>ד</w:t>
            </w:r>
          </w:p>
        </w:tc>
      </w:tr>
    </w:tbl>
    <w:p w:rsidR="00DB6151" w:rsidRDefault="00DB6151" w:rsidP="00DB6151">
      <w:pPr>
        <w:pStyle w:val="Ruller3"/>
        <w:rPr>
          <w:rtl/>
        </w:rPr>
      </w:pPr>
    </w:p>
    <w:tbl>
      <w:tblPr>
        <w:bidiVisual/>
        <w:tblW w:w="8364" w:type="dxa"/>
        <w:tblLayout w:type="fixed"/>
        <w:tblLook w:val="0000" w:firstRow="0" w:lastRow="0" w:firstColumn="0" w:lastColumn="0" w:noHBand="0" w:noVBand="0"/>
      </w:tblPr>
      <w:tblGrid>
        <w:gridCol w:w="3210"/>
        <w:gridCol w:w="5154"/>
      </w:tblGrid>
      <w:tr w:rsidR="00DB6151" w:rsidTr="00F84999">
        <w:trPr>
          <w:trHeight w:val="287"/>
        </w:trPr>
        <w:tc>
          <w:tcPr>
            <w:tcW w:w="3261" w:type="dxa"/>
          </w:tcPr>
          <w:p w:rsidR="00DB6151" w:rsidRPr="00E75223" w:rsidRDefault="00DB6151" w:rsidP="00F84999">
            <w:pPr>
              <w:pStyle w:val="BodyRuller"/>
              <w:rPr>
                <w:rFonts w:ascii="David" w:hAnsi="David"/>
              </w:rPr>
            </w:pPr>
            <w:r>
              <w:rPr>
                <w:rFonts w:ascii="David" w:hAnsi="David"/>
                <w:rtl/>
              </w:rPr>
              <w:t>המשיב</w:t>
            </w:r>
            <w:r>
              <w:rPr>
                <w:rFonts w:ascii="David" w:hAnsi="David" w:hint="cs"/>
                <w:rtl/>
              </w:rPr>
              <w:t>ה</w:t>
            </w:r>
            <w:r>
              <w:rPr>
                <w:rFonts w:ascii="David" w:hAnsi="David"/>
                <w:rtl/>
              </w:rPr>
              <w:t>:</w:t>
            </w:r>
          </w:p>
        </w:tc>
        <w:tc>
          <w:tcPr>
            <w:tcW w:w="5239" w:type="dxa"/>
          </w:tcPr>
          <w:p w:rsidR="00DB6151" w:rsidRDefault="00DB6151" w:rsidP="00F84999">
            <w:pPr>
              <w:pStyle w:val="BodyRuller"/>
            </w:pPr>
            <w:r>
              <w:rPr>
                <w:rtl/>
              </w:rPr>
              <w:t>היועצת המשפטית לממשלה</w:t>
            </w:r>
          </w:p>
        </w:tc>
      </w:tr>
    </w:tbl>
    <w:p w:rsidR="00DB6151" w:rsidRDefault="00DB6151" w:rsidP="00DB6151">
      <w:pPr>
        <w:pStyle w:val="Ruller3"/>
      </w:pPr>
    </w:p>
    <w:tbl>
      <w:tblPr>
        <w:bidiVisual/>
        <w:tblW w:w="0" w:type="auto"/>
        <w:tblInd w:w="3209" w:type="dxa"/>
        <w:tblLook w:val="0000" w:firstRow="0" w:lastRow="0" w:firstColumn="0" w:lastColumn="0" w:noHBand="0" w:noVBand="0"/>
      </w:tblPr>
      <w:tblGrid>
        <w:gridCol w:w="5103"/>
      </w:tblGrid>
      <w:tr w:rsidR="00DB6151" w:rsidTr="00F84999">
        <w:tc>
          <w:tcPr>
            <w:tcW w:w="5103" w:type="dxa"/>
          </w:tcPr>
          <w:p w:rsidR="00DB6151" w:rsidRPr="00265F6E" w:rsidRDefault="00DB6151" w:rsidP="00F84999">
            <w:pPr>
              <w:pStyle w:val="BodyRuller"/>
              <w:rPr>
                <w:sz w:val="24"/>
                <w:szCs w:val="24"/>
              </w:rPr>
            </w:pPr>
            <w:r>
              <w:rPr>
                <w:rFonts w:hint="cs"/>
                <w:sz w:val="24"/>
                <w:szCs w:val="24"/>
                <w:rtl/>
              </w:rPr>
              <w:t>עתירה למתן צו על-תנאי</w:t>
            </w:r>
          </w:p>
        </w:tc>
      </w:tr>
    </w:tbl>
    <w:p w:rsidR="00DB6151" w:rsidRDefault="00DB6151" w:rsidP="00DB6151">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DB6151" w:rsidTr="00F84999">
        <w:trPr>
          <w:trHeight w:val="151"/>
        </w:trPr>
        <w:tc>
          <w:tcPr>
            <w:tcW w:w="3230" w:type="dxa"/>
            <w:vMerge w:val="restart"/>
            <w:tcBorders>
              <w:top w:val="nil"/>
              <w:left w:val="nil"/>
              <w:right w:val="nil"/>
            </w:tcBorders>
          </w:tcPr>
          <w:p w:rsidR="00DB6151" w:rsidRPr="00265F6E" w:rsidRDefault="00DB6151" w:rsidP="00F84999">
            <w:pPr>
              <w:pStyle w:val="BodyRuller"/>
              <w:rPr>
                <w:sz w:val="24"/>
                <w:szCs w:val="24"/>
              </w:rPr>
            </w:pPr>
            <w:r>
              <w:rPr>
                <w:sz w:val="24"/>
                <w:szCs w:val="24"/>
                <w:rtl/>
              </w:rPr>
              <w:t>תארי</w:t>
            </w:r>
            <w:r>
              <w:rPr>
                <w:rFonts w:hint="cs"/>
                <w:sz w:val="24"/>
                <w:szCs w:val="24"/>
                <w:rtl/>
              </w:rPr>
              <w:t>כי ישיבות:</w:t>
            </w:r>
            <w:r>
              <w:rPr>
                <w:sz w:val="24"/>
                <w:szCs w:val="24"/>
                <w:rtl/>
              </w:rPr>
              <w:t xml:space="preserve"> </w:t>
            </w:r>
          </w:p>
        </w:tc>
        <w:tc>
          <w:tcPr>
            <w:tcW w:w="2423" w:type="dxa"/>
            <w:tcBorders>
              <w:top w:val="nil"/>
              <w:left w:val="nil"/>
              <w:bottom w:val="nil"/>
              <w:right w:val="nil"/>
            </w:tcBorders>
          </w:tcPr>
          <w:p w:rsidR="00DB6151" w:rsidRDefault="00DB6151" w:rsidP="00F84999">
            <w:pPr>
              <w:pStyle w:val="BodyRuller"/>
              <w:rPr>
                <w:rtl/>
              </w:rPr>
            </w:pPr>
            <w:r>
              <w:rPr>
                <w:rFonts w:hint="cs"/>
                <w:sz w:val="24"/>
                <w:szCs w:val="24"/>
                <w:rtl/>
              </w:rPr>
              <w:t xml:space="preserve">כ"ו בטבת </w:t>
            </w:r>
            <w:proofErr w:type="spellStart"/>
            <w:r>
              <w:rPr>
                <w:rFonts w:hint="cs"/>
                <w:sz w:val="24"/>
                <w:szCs w:val="24"/>
                <w:rtl/>
              </w:rPr>
              <w:t>התשפ"ג</w:t>
            </w:r>
            <w:proofErr w:type="spellEnd"/>
            <w:r>
              <w:t xml:space="preserve">       </w:t>
            </w:r>
          </w:p>
        </w:tc>
        <w:tc>
          <w:tcPr>
            <w:tcW w:w="2710" w:type="dxa"/>
            <w:tcBorders>
              <w:top w:val="nil"/>
              <w:left w:val="nil"/>
              <w:bottom w:val="nil"/>
              <w:right w:val="nil"/>
            </w:tcBorders>
          </w:tcPr>
          <w:p w:rsidR="00DB6151" w:rsidRDefault="00DB6151" w:rsidP="00F84999">
            <w:pPr>
              <w:pStyle w:val="BodyRuller"/>
              <w:rPr>
                <w:sz w:val="24"/>
                <w:szCs w:val="24"/>
                <w:rtl/>
              </w:rPr>
            </w:pPr>
            <w:r>
              <w:t xml:space="preserve">(19.01.2023) </w:t>
            </w:r>
          </w:p>
        </w:tc>
      </w:tr>
      <w:tr w:rsidR="00DB6151" w:rsidTr="00F84999">
        <w:tc>
          <w:tcPr>
            <w:tcW w:w="3230" w:type="dxa"/>
            <w:vMerge/>
            <w:tcBorders>
              <w:left w:val="nil"/>
              <w:bottom w:val="nil"/>
              <w:right w:val="nil"/>
            </w:tcBorders>
          </w:tcPr>
          <w:p w:rsidR="00DB6151" w:rsidRPr="00265F6E" w:rsidRDefault="00DB6151" w:rsidP="00F84999">
            <w:pPr>
              <w:pStyle w:val="BodyRuller"/>
              <w:rPr>
                <w:sz w:val="24"/>
                <w:szCs w:val="24"/>
              </w:rPr>
            </w:pPr>
          </w:p>
        </w:tc>
        <w:tc>
          <w:tcPr>
            <w:tcW w:w="2423" w:type="dxa"/>
            <w:tcBorders>
              <w:top w:val="nil"/>
              <w:left w:val="nil"/>
              <w:bottom w:val="nil"/>
              <w:right w:val="nil"/>
            </w:tcBorders>
          </w:tcPr>
          <w:p w:rsidR="00DB6151" w:rsidRPr="004D1EFF" w:rsidRDefault="00DB6151" w:rsidP="00F84999">
            <w:pPr>
              <w:pStyle w:val="BodyRuller"/>
              <w:rPr>
                <w:sz w:val="24"/>
                <w:szCs w:val="24"/>
                <w:rtl/>
              </w:rPr>
            </w:pPr>
            <w:r>
              <w:rPr>
                <w:rFonts w:hint="cs"/>
                <w:sz w:val="24"/>
                <w:szCs w:val="24"/>
                <w:rtl/>
              </w:rPr>
              <w:t xml:space="preserve">י"ז באייר </w:t>
            </w:r>
            <w:proofErr w:type="spellStart"/>
            <w:r>
              <w:rPr>
                <w:rFonts w:hint="cs"/>
                <w:sz w:val="24"/>
                <w:szCs w:val="24"/>
                <w:rtl/>
              </w:rPr>
              <w:t>התשפ"ג</w:t>
            </w:r>
            <w:proofErr w:type="spellEnd"/>
            <w:r w:rsidRPr="004D1EFF">
              <w:rPr>
                <w:sz w:val="24"/>
                <w:szCs w:val="24"/>
              </w:rPr>
              <w:t xml:space="preserve">       </w:t>
            </w:r>
          </w:p>
        </w:tc>
        <w:tc>
          <w:tcPr>
            <w:tcW w:w="2710" w:type="dxa"/>
            <w:tcBorders>
              <w:top w:val="nil"/>
              <w:left w:val="nil"/>
              <w:bottom w:val="nil"/>
              <w:right w:val="nil"/>
            </w:tcBorders>
          </w:tcPr>
          <w:p w:rsidR="00DB6151" w:rsidRPr="004D1EFF" w:rsidRDefault="00DB6151" w:rsidP="00F84999">
            <w:pPr>
              <w:pStyle w:val="BodyRuller"/>
              <w:rPr>
                <w:rtl/>
              </w:rPr>
            </w:pPr>
            <w:r>
              <w:t xml:space="preserve">(08.05.2023) </w:t>
            </w:r>
          </w:p>
        </w:tc>
      </w:tr>
    </w:tbl>
    <w:p w:rsidR="00DB6151" w:rsidRDefault="00DB6151" w:rsidP="00DB6151">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5153"/>
      </w:tblGrid>
      <w:tr w:rsidR="00DB6151" w:rsidRPr="004D1EFF" w:rsidTr="00F84999">
        <w:tc>
          <w:tcPr>
            <w:tcW w:w="3257" w:type="dxa"/>
            <w:tcBorders>
              <w:top w:val="nil"/>
              <w:left w:val="nil"/>
              <w:bottom w:val="nil"/>
              <w:right w:val="nil"/>
            </w:tcBorders>
          </w:tcPr>
          <w:p w:rsidR="00DB6151" w:rsidRPr="00BE5BDA" w:rsidRDefault="00DB6151" w:rsidP="00F84999">
            <w:pPr>
              <w:pStyle w:val="BodyRuller"/>
            </w:pPr>
            <w:r w:rsidRPr="00BE5BDA">
              <w:rPr>
                <w:rtl/>
              </w:rPr>
              <w:t>בשם העותר:</w:t>
            </w:r>
          </w:p>
        </w:tc>
        <w:tc>
          <w:tcPr>
            <w:tcW w:w="5238" w:type="dxa"/>
            <w:tcBorders>
              <w:top w:val="nil"/>
              <w:left w:val="nil"/>
              <w:bottom w:val="nil"/>
              <w:right w:val="nil"/>
            </w:tcBorders>
          </w:tcPr>
          <w:p w:rsidR="00DB6151" w:rsidRPr="00BE5BDA" w:rsidRDefault="00DB6151" w:rsidP="00F84999">
            <w:pPr>
              <w:pStyle w:val="BodyRuller"/>
            </w:pPr>
            <w:r w:rsidRPr="00BE5BDA">
              <w:rPr>
                <w:rtl/>
              </w:rPr>
              <w:t xml:space="preserve">עו"ד </w:t>
            </w:r>
            <w:r w:rsidRPr="00BE5BDA">
              <w:rPr>
                <w:rFonts w:hint="cs"/>
                <w:rtl/>
              </w:rPr>
              <w:t xml:space="preserve">עמית חדד; עו"ד נועה </w:t>
            </w:r>
            <w:proofErr w:type="spellStart"/>
            <w:r w:rsidRPr="00BE5BDA">
              <w:rPr>
                <w:rFonts w:hint="cs"/>
                <w:rtl/>
              </w:rPr>
              <w:t>מילשטיין</w:t>
            </w:r>
            <w:proofErr w:type="spellEnd"/>
          </w:p>
        </w:tc>
      </w:tr>
    </w:tbl>
    <w:p w:rsidR="00DB6151" w:rsidRPr="00BE5BDA" w:rsidRDefault="00DB6151" w:rsidP="00DB6151">
      <w:pPr>
        <w:pStyle w:val="BodyRulle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DB6151" w:rsidRPr="004D1EFF" w:rsidTr="00F84999">
        <w:tc>
          <w:tcPr>
            <w:tcW w:w="3257" w:type="dxa"/>
            <w:tcBorders>
              <w:top w:val="nil"/>
              <w:left w:val="nil"/>
              <w:bottom w:val="nil"/>
              <w:right w:val="nil"/>
            </w:tcBorders>
          </w:tcPr>
          <w:p w:rsidR="00DB6151" w:rsidRPr="00BE5BDA" w:rsidRDefault="00DB6151" w:rsidP="00F84999">
            <w:pPr>
              <w:pStyle w:val="BodyRuller"/>
            </w:pPr>
            <w:r w:rsidRPr="00BE5BDA">
              <w:rPr>
                <w:rtl/>
              </w:rPr>
              <w:t>בשם המשיב</w:t>
            </w:r>
            <w:r w:rsidRPr="00BE5BDA">
              <w:rPr>
                <w:rFonts w:hint="cs"/>
                <w:rtl/>
              </w:rPr>
              <w:t>ה</w:t>
            </w:r>
            <w:r w:rsidRPr="00BE5BDA">
              <w:rPr>
                <w:rtl/>
              </w:rPr>
              <w:t>:</w:t>
            </w:r>
          </w:p>
        </w:tc>
        <w:tc>
          <w:tcPr>
            <w:tcW w:w="5238" w:type="dxa"/>
            <w:tcBorders>
              <w:top w:val="nil"/>
              <w:left w:val="nil"/>
              <w:bottom w:val="nil"/>
              <w:right w:val="nil"/>
            </w:tcBorders>
          </w:tcPr>
          <w:p w:rsidR="00DB6151" w:rsidRPr="00BE5BDA" w:rsidRDefault="00DB6151" w:rsidP="00F84999">
            <w:pPr>
              <w:pStyle w:val="BodyRuller"/>
            </w:pPr>
            <w:r w:rsidRPr="00BE5BDA">
              <w:rPr>
                <w:rtl/>
              </w:rPr>
              <w:t xml:space="preserve">עו"ד </w:t>
            </w:r>
            <w:r w:rsidRPr="00BE5BDA">
              <w:rPr>
                <w:rFonts w:hint="cs"/>
                <w:rtl/>
              </w:rPr>
              <w:t xml:space="preserve">שוש שמואלי; עו"ד מיטל </w:t>
            </w:r>
            <w:proofErr w:type="spellStart"/>
            <w:r w:rsidRPr="00BE5BDA">
              <w:rPr>
                <w:rFonts w:hint="cs"/>
                <w:rtl/>
              </w:rPr>
              <w:t>בוכמן-שינדל</w:t>
            </w:r>
            <w:proofErr w:type="spellEnd"/>
          </w:p>
        </w:tc>
      </w:tr>
    </w:tbl>
    <w:p w:rsidR="00DB6151" w:rsidRDefault="00DB6151" w:rsidP="00DB6151">
      <w:pPr>
        <w:pStyle w:val="Ruller3"/>
      </w:pPr>
    </w:p>
    <w:tbl>
      <w:tblPr>
        <w:bidiVisual/>
        <w:tblW w:w="8363" w:type="dxa"/>
        <w:tblLook w:val="0000" w:firstRow="0" w:lastRow="0" w:firstColumn="0" w:lastColumn="0" w:noHBand="0" w:noVBand="0"/>
      </w:tblPr>
      <w:tblGrid>
        <w:gridCol w:w="8363"/>
      </w:tblGrid>
      <w:tr w:rsidR="00DB6151" w:rsidTr="00F84999">
        <w:tc>
          <w:tcPr>
            <w:tcW w:w="9837" w:type="dxa"/>
          </w:tcPr>
          <w:p w:rsidR="00DB6151" w:rsidRDefault="00DB6151" w:rsidP="00F84999">
            <w:pPr>
              <w:pStyle w:val="DocumentHead"/>
            </w:pPr>
            <w:bookmarkStart w:id="2" w:name="secretary"/>
            <w:bookmarkStart w:id="3" w:name="BeginProtocol"/>
            <w:bookmarkEnd w:id="2"/>
            <w:bookmarkEnd w:id="3"/>
            <w:r>
              <w:rPr>
                <w:rtl/>
              </w:rPr>
              <w:t>פסק-דין</w:t>
            </w:r>
          </w:p>
        </w:tc>
      </w:tr>
    </w:tbl>
    <w:p w:rsidR="00DB6151" w:rsidRPr="00503A3E" w:rsidRDefault="00DB6151" w:rsidP="00DB6151">
      <w:pPr>
        <w:pStyle w:val="BODYVERDICT"/>
        <w:spacing w:before="240" w:after="240" w:line="360" w:lineRule="auto"/>
        <w:rPr>
          <w:rFonts w:cs="Miriam"/>
          <w:sz w:val="24"/>
          <w:szCs w:val="24"/>
          <w:u w:val="single"/>
          <w:rtl/>
        </w:rPr>
      </w:pPr>
      <w:bookmarkStart w:id="4" w:name="Writer_Name"/>
      <w:bookmarkEnd w:id="4"/>
      <w:r>
        <w:rPr>
          <w:rFonts w:cs="Miriam"/>
          <w:sz w:val="24"/>
          <w:szCs w:val="24"/>
          <w:u w:val="single"/>
          <w:rtl/>
        </w:rPr>
        <w:t>השופט ח' כבוב</w:t>
      </w:r>
      <w:r w:rsidRPr="004D1EFF">
        <w:rPr>
          <w:rFonts w:cs="Miriam"/>
          <w:sz w:val="24"/>
          <w:szCs w:val="24"/>
          <w:rtl/>
        </w:rPr>
        <w:t>:</w:t>
      </w:r>
    </w:p>
    <w:p w:rsidR="00DB6151" w:rsidRPr="006D3EC2" w:rsidRDefault="00DB6151" w:rsidP="00DB6151">
      <w:pPr>
        <w:pStyle w:val="Ruller41"/>
        <w:tabs>
          <w:tab w:val="clear" w:pos="800"/>
          <w:tab w:val="left" w:pos="793"/>
        </w:tabs>
        <w:overflowPunct/>
        <w:autoSpaceDE/>
        <w:autoSpaceDN/>
        <w:adjustRightInd/>
        <w:spacing w:before="240" w:after="240"/>
        <w:textAlignment w:val="auto"/>
        <w:rPr>
          <w:spacing w:val="6"/>
        </w:rPr>
      </w:pPr>
      <w:bookmarkStart w:id="5" w:name="Start_Write"/>
      <w:bookmarkEnd w:id="5"/>
      <w:r>
        <w:rPr>
          <w:spacing w:val="6"/>
          <w:rtl/>
        </w:rPr>
        <w:tab/>
      </w:r>
      <w:r>
        <w:rPr>
          <w:rFonts w:hint="cs"/>
          <w:spacing w:val="6"/>
          <w:rtl/>
        </w:rPr>
        <w:t xml:space="preserve">עתירה זו מכוונת נגד החלטת היועצת המשפטית לממשלה </w:t>
      </w:r>
      <w:r w:rsidRPr="0041504D">
        <w:rPr>
          <w:rFonts w:hint="cs"/>
          <w:spacing w:val="6"/>
          <w:rtl/>
        </w:rPr>
        <w:t xml:space="preserve">מיום </w:t>
      </w:r>
      <w:r>
        <w:rPr>
          <w:rFonts w:hint="cs"/>
          <w:spacing w:val="6"/>
          <w:rtl/>
        </w:rPr>
        <w:t>12.01.2023</w:t>
      </w:r>
      <w:r>
        <w:rPr>
          <w:rFonts w:hint="cs"/>
          <w:rtl/>
        </w:rPr>
        <w:t xml:space="preserve"> שלא להורות על פתיחה בחקירה פלילית בחשד למסירת מידע שלא ברשות (להלן: </w:t>
      </w:r>
      <w:r>
        <w:rPr>
          <w:rFonts w:ascii="Century" w:hAnsi="Century" w:cs="Miriam" w:hint="cs"/>
          <w:b/>
          <w:spacing w:val="0"/>
          <w:szCs w:val="24"/>
          <w:rtl/>
        </w:rPr>
        <w:t>היועצת</w:t>
      </w:r>
      <w:r w:rsidRPr="00872906">
        <w:rPr>
          <w:rFonts w:ascii="Century" w:hAnsi="Century" w:hint="cs"/>
          <w:rtl/>
        </w:rPr>
        <w:t>;</w:t>
      </w:r>
      <w:r>
        <w:rPr>
          <w:rFonts w:ascii="Century" w:hAnsi="Century" w:cs="Miriam" w:hint="cs"/>
          <w:b/>
          <w:spacing w:val="0"/>
          <w:szCs w:val="24"/>
          <w:rtl/>
        </w:rPr>
        <w:t xml:space="preserve">  </w:t>
      </w:r>
      <w:r w:rsidRPr="00872906">
        <w:rPr>
          <w:rFonts w:ascii="Century" w:hAnsi="Century" w:hint="cs"/>
          <w:rtl/>
        </w:rPr>
        <w:t>ו-</w:t>
      </w:r>
      <w:r w:rsidRPr="0050502E">
        <w:rPr>
          <w:rFonts w:ascii="Century" w:hAnsi="Century" w:cs="Miriam" w:hint="cs"/>
          <w:b/>
          <w:spacing w:val="0"/>
          <w:szCs w:val="24"/>
          <w:rtl/>
        </w:rPr>
        <w:t>החלטת היועצת</w:t>
      </w:r>
      <w:r>
        <w:rPr>
          <w:rFonts w:hint="cs"/>
          <w:rtl/>
        </w:rPr>
        <w:t xml:space="preserve"> או </w:t>
      </w:r>
      <w:r>
        <w:rPr>
          <w:rFonts w:ascii="Century" w:hAnsi="Century" w:cs="Miriam" w:hint="cs"/>
          <w:b/>
          <w:spacing w:val="0"/>
          <w:szCs w:val="24"/>
          <w:rtl/>
        </w:rPr>
        <w:t>ההחלטה</w:t>
      </w:r>
      <w:r>
        <w:rPr>
          <w:rFonts w:hint="cs"/>
          <w:rtl/>
        </w:rPr>
        <w:t>).</w:t>
      </w:r>
    </w:p>
    <w:p w:rsidR="00DB6151" w:rsidRPr="006C395E" w:rsidRDefault="00DB6151" w:rsidP="00DB6151">
      <w:pPr>
        <w:pStyle w:val="Ruller41"/>
        <w:keepNext/>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א. העובדות הדרושות לעניין</w:t>
      </w:r>
    </w:p>
    <w:p w:rsidR="00DB6151" w:rsidRPr="00D62CF8"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ביום 28.01.2020, לאחר מספר שנים של חקירות והליך שימוע, הוגש נגד העותר, ראש הממשלה מר בנימין נתניהו, כתב אישום </w:t>
      </w:r>
      <w:r>
        <w:rPr>
          <w:rFonts w:ascii="FrankRuehl" w:hAnsi="FrankRuehl"/>
          <w:color w:val="000000"/>
          <w:sz w:val="28"/>
          <w:rtl/>
        </w:rPr>
        <w:t>בגדרו יוחסו ל</w:t>
      </w:r>
      <w:r>
        <w:rPr>
          <w:rFonts w:ascii="FrankRuehl" w:hAnsi="FrankRuehl" w:hint="cs"/>
          <w:color w:val="000000"/>
          <w:sz w:val="28"/>
          <w:rtl/>
        </w:rPr>
        <w:t xml:space="preserve">ו </w:t>
      </w:r>
      <w:r>
        <w:rPr>
          <w:rFonts w:ascii="FrankRuehl" w:hAnsi="FrankRuehl"/>
          <w:color w:val="000000"/>
          <w:sz w:val="28"/>
          <w:rtl/>
        </w:rPr>
        <w:t>עבירות בתחום טוהר המידות</w:t>
      </w:r>
      <w:r w:rsidRPr="00B70090">
        <w:rPr>
          <w:rFonts w:ascii="FrankRuehl" w:hAnsi="FrankRuehl"/>
          <w:color w:val="000000"/>
          <w:sz w:val="28"/>
          <w:rtl/>
        </w:rPr>
        <w:t xml:space="preserve"> לרבו</w:t>
      </w:r>
      <w:r>
        <w:rPr>
          <w:rFonts w:ascii="FrankRuehl" w:hAnsi="FrankRuehl"/>
          <w:color w:val="000000"/>
          <w:sz w:val="28"/>
          <w:rtl/>
        </w:rPr>
        <w:t>ת עבירות שוחד, מרמה והפרת אמוני</w:t>
      </w:r>
      <w:r>
        <w:rPr>
          <w:rFonts w:ascii="FrankRuehl" w:hAnsi="FrankRuehl" w:hint="cs"/>
          <w:color w:val="000000"/>
          <w:sz w:val="28"/>
          <w:rtl/>
        </w:rPr>
        <w:t>ם</w:t>
      </w:r>
      <w:r>
        <w:rPr>
          <w:rFonts w:hint="cs"/>
          <w:rtl/>
        </w:rPr>
        <w:t xml:space="preserve"> </w:t>
      </w:r>
      <w:r w:rsidRPr="00B70090">
        <w:rPr>
          <w:rFonts w:ascii="Century" w:hAnsi="Century" w:hint="cs"/>
          <w:rtl/>
        </w:rPr>
        <w:t>(ת</w:t>
      </w:r>
      <w:r w:rsidRPr="00B70090">
        <w:rPr>
          <w:rFonts w:ascii="Century" w:hAnsi="Century"/>
          <w:rtl/>
        </w:rPr>
        <w:t>"</w:t>
      </w:r>
      <w:r w:rsidRPr="00B70090">
        <w:rPr>
          <w:rFonts w:ascii="Century" w:hAnsi="Century" w:hint="cs"/>
          <w:rtl/>
        </w:rPr>
        <w:t>פ</w:t>
      </w:r>
      <w:r w:rsidRPr="00B70090">
        <w:rPr>
          <w:rFonts w:ascii="Century" w:hAnsi="Century"/>
          <w:rtl/>
        </w:rPr>
        <w:t xml:space="preserve"> 67104-01-20</w:t>
      </w:r>
      <w:r w:rsidRPr="00B70090">
        <w:rPr>
          <w:rFonts w:ascii="Century" w:hAnsi="Century" w:hint="cs"/>
          <w:rtl/>
        </w:rPr>
        <w:t xml:space="preserve"> </w:t>
      </w:r>
      <w:r w:rsidRPr="00B70090">
        <w:rPr>
          <w:rFonts w:ascii="Century" w:hAnsi="Century" w:cs="Miriam" w:hint="cs"/>
          <w:b/>
          <w:spacing w:val="0"/>
          <w:szCs w:val="24"/>
          <w:rtl/>
        </w:rPr>
        <w:t>מדינת ישראל נ' נתניהו</w:t>
      </w:r>
      <w:r>
        <w:rPr>
          <w:rFonts w:ascii="Century" w:hAnsi="Century" w:cs="Miriam" w:hint="cs"/>
          <w:b/>
          <w:spacing w:val="0"/>
          <w:szCs w:val="24"/>
          <w:rtl/>
        </w:rPr>
        <w:t xml:space="preserve"> ואח'</w:t>
      </w:r>
      <w:r w:rsidRPr="00D62CF8">
        <w:rPr>
          <w:rFonts w:ascii="Century" w:hAnsi="Century" w:hint="cs"/>
          <w:rtl/>
        </w:rPr>
        <w:t>; להלן גם</w:t>
      </w:r>
      <w:r>
        <w:rPr>
          <w:rFonts w:ascii="Century" w:hAnsi="Century" w:hint="cs"/>
          <w:rtl/>
        </w:rPr>
        <w:t>:</w:t>
      </w:r>
      <w:r w:rsidRPr="00D62CF8">
        <w:rPr>
          <w:rFonts w:ascii="Century" w:hAnsi="Century" w:hint="cs"/>
          <w:rtl/>
        </w:rPr>
        <w:t xml:space="preserve"> </w:t>
      </w:r>
      <w:r w:rsidRPr="00D62CF8">
        <w:rPr>
          <w:rFonts w:ascii="Century" w:hAnsi="Century" w:cs="Miriam" w:hint="cs"/>
          <w:b/>
          <w:spacing w:val="0"/>
          <w:szCs w:val="24"/>
          <w:rtl/>
        </w:rPr>
        <w:t>ההליך העיקרי</w:t>
      </w:r>
      <w:r w:rsidRPr="00B70090">
        <w:rPr>
          <w:rFonts w:ascii="Century" w:hAnsi="Century" w:hint="cs"/>
          <w:rtl/>
        </w:rPr>
        <w:t>).</w:t>
      </w:r>
      <w:r>
        <w:rPr>
          <w:rFonts w:hint="cs"/>
          <w:rtl/>
        </w:rPr>
        <w:t xml:space="preserve"> אחד מן </w:t>
      </w:r>
      <w:proofErr w:type="spellStart"/>
      <w:r>
        <w:rPr>
          <w:rFonts w:hint="cs"/>
          <w:rtl/>
        </w:rPr>
        <w:t>האישומים</w:t>
      </w:r>
      <w:proofErr w:type="spellEnd"/>
      <w:r>
        <w:rPr>
          <w:rFonts w:hint="cs"/>
          <w:rtl/>
        </w:rPr>
        <w:t xml:space="preserve">, המוכר גם כ"פרשת 1000", מייחס לעותר קבלת טובות הנאה מאנשי העסקים מר ארנון </w:t>
      </w:r>
      <w:proofErr w:type="spellStart"/>
      <w:r>
        <w:rPr>
          <w:rFonts w:hint="cs"/>
          <w:rtl/>
        </w:rPr>
        <w:t>מילצ'ן</w:t>
      </w:r>
      <w:proofErr w:type="spellEnd"/>
      <w:r>
        <w:rPr>
          <w:rFonts w:hint="cs"/>
          <w:rtl/>
        </w:rPr>
        <w:t xml:space="preserve"> ומר ג'יימס </w:t>
      </w:r>
      <w:proofErr w:type="spellStart"/>
      <w:r>
        <w:rPr>
          <w:rFonts w:hint="cs"/>
          <w:rtl/>
        </w:rPr>
        <w:t>פאקר</w:t>
      </w:r>
      <w:proofErr w:type="spellEnd"/>
      <w:r>
        <w:rPr>
          <w:rFonts w:hint="cs"/>
          <w:rtl/>
        </w:rPr>
        <w:t xml:space="preserve"> וביצוע פעולות שלטוניות לטובת מר </w:t>
      </w:r>
      <w:proofErr w:type="spellStart"/>
      <w:r>
        <w:rPr>
          <w:rFonts w:hint="cs"/>
          <w:rtl/>
        </w:rPr>
        <w:t>מילצ'ן</w:t>
      </w:r>
      <w:proofErr w:type="spellEnd"/>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lastRenderedPageBreak/>
        <w:t xml:space="preserve">ביום 24.10.2021, לאחר שהחל שלב שמיעת ההוכחות בהליך העיקרי, מסרה אחת מעדות התביעה, הגב' הדס קליין (להלן: </w:t>
      </w:r>
      <w:r w:rsidRPr="00003E7D">
        <w:rPr>
          <w:rFonts w:ascii="Century" w:hAnsi="Century" w:cs="Miriam" w:hint="cs"/>
          <w:b/>
          <w:spacing w:val="0"/>
          <w:szCs w:val="24"/>
          <w:rtl/>
        </w:rPr>
        <w:t xml:space="preserve">גב' </w:t>
      </w:r>
      <w:r w:rsidRPr="006D3EC2">
        <w:rPr>
          <w:rFonts w:ascii="Century" w:hAnsi="Century" w:cs="Miriam" w:hint="cs"/>
          <w:b/>
          <w:spacing w:val="0"/>
          <w:szCs w:val="24"/>
          <w:rtl/>
        </w:rPr>
        <w:t>קליין</w:t>
      </w:r>
      <w:r>
        <w:rPr>
          <w:rFonts w:hint="cs"/>
          <w:rtl/>
        </w:rPr>
        <w:t>), לידי משטרת ישראל, מידע חדש שהיא סברה שעשוי להיות רלוונטי להליך העיקרי. בתוך כך, גב' קליין מסרה מידע על אודות תכשיטים שניתנו לרעייתו של העותר, הגב' שרה נתניהו, ובכללם צמיד זהב משובץ יהלומים, שנרכש ביום 28.02.2015 בחנות "</w:t>
      </w:r>
      <w:proofErr w:type="spellStart"/>
      <w:r>
        <w:rPr>
          <w:rFonts w:hint="cs"/>
          <w:rtl/>
        </w:rPr>
        <w:t>בוצ'לטי</w:t>
      </w:r>
      <w:proofErr w:type="spellEnd"/>
      <w:r>
        <w:rPr>
          <w:rFonts w:hint="cs"/>
          <w:rtl/>
        </w:rPr>
        <w:t xml:space="preserve">" בעיר אספן שבמדינת </w:t>
      </w:r>
      <w:proofErr w:type="spellStart"/>
      <w:r>
        <w:rPr>
          <w:rFonts w:hint="cs"/>
          <w:rtl/>
        </w:rPr>
        <w:t>קולרדו</w:t>
      </w:r>
      <w:proofErr w:type="spellEnd"/>
      <w:r>
        <w:rPr>
          <w:rFonts w:hint="cs"/>
          <w:rtl/>
        </w:rPr>
        <w:t xml:space="preserve"> בארה"ב (להלן: </w:t>
      </w:r>
      <w:r>
        <w:rPr>
          <w:rFonts w:ascii="Century" w:hAnsi="Century" w:cs="Miriam" w:hint="cs"/>
          <w:b/>
          <w:spacing w:val="0"/>
          <w:szCs w:val="24"/>
          <w:rtl/>
        </w:rPr>
        <w:t>הצמיד</w:t>
      </w:r>
      <w:r>
        <w:rPr>
          <w:rFonts w:hint="cs"/>
          <w:rtl/>
        </w:rPr>
        <w:t xml:space="preserve">). מידע חדש זה נתמך, בין היתר, בחשבונית שהציגה גב' קליין לחוקרי משטרת ישראל (להלן: </w:t>
      </w:r>
      <w:r w:rsidRPr="006547D8">
        <w:rPr>
          <w:rFonts w:ascii="Century" w:hAnsi="Century" w:cs="Miriam" w:hint="cs"/>
          <w:b/>
          <w:spacing w:val="0"/>
          <w:szCs w:val="24"/>
          <w:rtl/>
        </w:rPr>
        <w:t>החשבונית</w:t>
      </w:r>
      <w:r>
        <w:rPr>
          <w:rFonts w:hint="cs"/>
          <w:rtl/>
        </w:rPr>
        <w:t>) ביחס לרכישת הצמיד. לאור המידע החדש, הורה היועץ המשפטי לממשלה דאז על ביצוע פעולות חקירה בנדון. לפיכך, במהלך החודשים אוקטובר ונובמבר 2021, היחידה הארצית לחקירות הונאה גבתה הודעות בעניין מגורמים רלוונטיים בארץ ומחוצה לה, וכן תפסה מסמכים שונים. על פעולות חקירה אלה הוטל צו איסור פרסום.</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לאחר בחינת החומר שנאסף על-ידי היחידה החוקרת, החליט היועץ המשפטי לממשלה דאז לגנוז את תיק החקירה ולהימנע מביצוע פעולות חקירה נוספות בעניין. כן הוחלט להעביר את חומרי החקירה לידי ההגנה בהליך העיקרי וצו איסור הפרסום הוסר מעל החקירה.</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בהמשך לכך, הגישה המשנַה לפרקליט המדינה, בשעות אחר הצהריים של יום 15.11.2021, הודעת עדכון לבית המשפט המחוזי בגדרי ההליך העיקרי, במסגרתה פורט על אודות השלמת החקירה שבוצעה. בהודעה צוין, כי איסור הפרסום נדרש מלכתחילה בשל חשש לסיכול החקירה או לשיבוש שלה; וכן, כי הכוונה היא להעביר את חומרי החקירה לעיון צוותי ההגנה בהליך העיקרי "</w:t>
      </w:r>
      <w:r w:rsidRPr="00472291">
        <w:rPr>
          <w:rFonts w:ascii="Century" w:hAnsi="Century" w:cs="Miriam" w:hint="eastAsia"/>
          <w:b/>
          <w:spacing w:val="0"/>
          <w:szCs w:val="24"/>
          <w:rtl/>
        </w:rPr>
        <w:t>בהקדם</w:t>
      </w:r>
      <w:r w:rsidRPr="00472291">
        <w:rPr>
          <w:rFonts w:ascii="Century" w:hAnsi="Century" w:cs="Miriam"/>
          <w:b/>
          <w:spacing w:val="0"/>
          <w:szCs w:val="24"/>
          <w:rtl/>
        </w:rPr>
        <w:t xml:space="preserve"> </w:t>
      </w:r>
      <w:r w:rsidRPr="00472291">
        <w:rPr>
          <w:rFonts w:ascii="Century" w:hAnsi="Century" w:cs="Miriam" w:hint="eastAsia"/>
          <w:b/>
          <w:spacing w:val="0"/>
          <w:szCs w:val="24"/>
          <w:rtl/>
        </w:rPr>
        <w:t>האפשרי</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בסמוך לאחר הגשת הודעת העדכון שוחחו בא-כוח העותר ונציגי התביעה. בא-כוח העותר ביקש לקבל פרטים נוספים בנוגע להשלמת החקירה שנערכה, אך נציגי התביעה השיבו כי הדברים יעלו בבירור מהחומרים שיימסרו לידי </w:t>
      </w:r>
      <w:r w:rsidRPr="006F6960">
        <w:rPr>
          <w:rFonts w:ascii="Century" w:hAnsi="Century" w:hint="cs"/>
          <w:rtl/>
        </w:rPr>
        <w:t xml:space="preserve">ההגנה </w:t>
      </w:r>
      <w:r>
        <w:rPr>
          <w:rFonts w:ascii="Century" w:hAnsi="Century" w:hint="cs"/>
          <w:rtl/>
        </w:rPr>
        <w:t>ב</w:t>
      </w:r>
      <w:r w:rsidRPr="006F6960">
        <w:rPr>
          <w:rFonts w:ascii="Century" w:hAnsi="Century" w:hint="cs"/>
          <w:rtl/>
        </w:rPr>
        <w:t>זמן הקרוב</w:t>
      </w:r>
      <w:r>
        <w:rPr>
          <w:rFonts w:hint="cs"/>
          <w:rtl/>
        </w:rPr>
        <w:t>. ואולם, טרם הגיעו חומרי החקירה לידי סנגוריו של העותר, החלו להתפרסם באמצעי תקשורת שונים ידיעות על אודות הודעת העדכון שהגישה הפרקליטות, וכן על פעולות שנעשו לשם השלמת החקירה, שפירוטן לא נכלל בהודעת העדכון.</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לקראת ערב יום 15.11.2021 שלחה התביעה לידי הסניגורים את חומרי החקירה, אך אלה סרבו, מטעמיהם, לקבלם בשלב זה. מעט לאחר מכן, אך עוד באותו הערב, פורסמו במהדורות החדשות דיווחים נוספים על פרטי החקירה, ואף הוצג מה שנחזה להיות העתק של החשבונית ב'חשיפה' של תכנית התחקירים "עובדה עם אילנה דיין" ששודרה במסגרת המהדורה המרכזית של חדשות קשת 12.</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lastRenderedPageBreak/>
        <w:t>למחרת, ביום 16.11.2021, במסגרת דיון שנקבע מבעוד מועד בהליך העיקרי, הלין צוות ההגנה של העותר על הדלפת המידע האמור לגורמי התקשורת השונים. גם העומדת בראש צוות התביעה הביעה הסתייגותה ממסירת המידע, והבהירה כי הסמכות לבחון פתיחה בחקירה בנושא נתונה בידי היועץ המשפטי לממשלה. בתום הדיון נתן בית המשפט המחוזי החלטה קצרה והעיר כי "</w:t>
      </w:r>
      <w:r w:rsidRPr="009316E3">
        <w:rPr>
          <w:rFonts w:ascii="Century" w:hAnsi="Century" w:cs="Miriam" w:hint="cs"/>
          <w:b/>
          <w:spacing w:val="0"/>
          <w:szCs w:val="24"/>
          <w:rtl/>
        </w:rPr>
        <w:t>לא ניתן לעבור על כך לסדר היום, מקום בו הודלפו חומרי חקירה ערב הדיון</w:t>
      </w:r>
      <w:r>
        <w:rPr>
          <w:rFonts w:hint="cs"/>
          <w:rtl/>
        </w:rPr>
        <w:t>", תוך הבעת ציפייה שרשויות החקירה יפעלו לבירור העניין ויעשו כל שנדרש למנוע הדלפות בעתיד.</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עוד באותו היום, פנה העותר ליועץ המשפטי לממשלה דאז, בבקשה כי זה יורה על פתיחה בחקירה לאיתור מקור ההדלפה לגורמי התקשורת.</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כבר למחרת, ביום 17.11.2021, התקבל מענה מטעם היועץ המשפטי לממשלה, לפיו הבקשה הועברה לטיפול בלשכת פרקליט המדינה. זאת ועוד, לפי האמור בכתב העתירה, משהתקבל ונלמד חומר החקירה מושא ענייננו, שב ופנה העותר ביום 21.11.2021 ליועץ המשפטי לממשלה ופירט את מסקנותיו, המחייבות לשיטתו פתיחה בחקירה פלילית. למחרת, ביום 22.11.2021, התקבל מענה לפיו גם פניה זו הועברה ללשכת פרקליט המדינה לטיפול. משנקפו הימים, והפכו לשבועות וחודשים, פנה העותר, בשלישית, כדי לברר על אודות סטטוס הטיפול בתלונתו, תוך שצוין כי מדובר בפניה אחרונה בטרם הגשת עתירה. יומיים לאחר מכן, ביום 24.04.2022, התקבל מענה מאת לשכת פרקליט המדינה, לפיו פניותיו של העותר "</w:t>
      </w:r>
      <w:r w:rsidRPr="00472291">
        <w:rPr>
          <w:rFonts w:ascii="Century" w:hAnsi="Century" w:cs="Miriam" w:hint="eastAsia"/>
          <w:b/>
          <w:spacing w:val="0"/>
          <w:szCs w:val="24"/>
          <w:rtl/>
        </w:rPr>
        <w:t>נבחנות</w:t>
      </w:r>
      <w:r w:rsidRPr="00472291">
        <w:rPr>
          <w:rFonts w:ascii="Century" w:hAnsi="Century" w:cs="Miriam"/>
          <w:b/>
          <w:spacing w:val="0"/>
          <w:szCs w:val="24"/>
          <w:rtl/>
        </w:rPr>
        <w:t xml:space="preserve"> </w:t>
      </w:r>
      <w:r w:rsidRPr="00472291">
        <w:rPr>
          <w:rFonts w:ascii="Century" w:hAnsi="Century" w:cs="Miriam" w:hint="eastAsia"/>
          <w:b/>
          <w:spacing w:val="0"/>
          <w:szCs w:val="24"/>
          <w:rtl/>
        </w:rPr>
        <w:t>על</w:t>
      </w:r>
      <w:r w:rsidRPr="00472291">
        <w:rPr>
          <w:rFonts w:ascii="Century" w:hAnsi="Century" w:cs="Miriam"/>
          <w:b/>
          <w:spacing w:val="0"/>
          <w:szCs w:val="24"/>
          <w:rtl/>
        </w:rPr>
        <w:t xml:space="preserve"> </w:t>
      </w:r>
      <w:r w:rsidRPr="00472291">
        <w:rPr>
          <w:rFonts w:ascii="Century" w:hAnsi="Century" w:cs="Miriam" w:hint="eastAsia"/>
          <w:b/>
          <w:spacing w:val="0"/>
          <w:szCs w:val="24"/>
          <w:rtl/>
        </w:rPr>
        <w:t>ידי</w:t>
      </w:r>
      <w:r w:rsidRPr="00472291">
        <w:rPr>
          <w:rFonts w:ascii="Century" w:hAnsi="Century" w:cs="Miriam"/>
          <w:b/>
          <w:spacing w:val="0"/>
          <w:szCs w:val="24"/>
          <w:rtl/>
        </w:rPr>
        <w:t xml:space="preserve"> </w:t>
      </w:r>
      <w:r w:rsidRPr="00472291">
        <w:rPr>
          <w:rFonts w:ascii="Century" w:hAnsi="Century" w:cs="Miriam" w:hint="eastAsia"/>
          <w:b/>
          <w:spacing w:val="0"/>
          <w:szCs w:val="24"/>
          <w:rtl/>
        </w:rPr>
        <w:t>כלל</w:t>
      </w:r>
      <w:r w:rsidRPr="00472291">
        <w:rPr>
          <w:rFonts w:ascii="Century" w:hAnsi="Century" w:cs="Miriam"/>
          <w:b/>
          <w:spacing w:val="0"/>
          <w:szCs w:val="24"/>
          <w:rtl/>
        </w:rPr>
        <w:t xml:space="preserve"> </w:t>
      </w:r>
      <w:r w:rsidRPr="00472291">
        <w:rPr>
          <w:rFonts w:ascii="Century" w:hAnsi="Century" w:cs="Miriam" w:hint="eastAsia"/>
          <w:b/>
          <w:spacing w:val="0"/>
          <w:szCs w:val="24"/>
          <w:rtl/>
        </w:rPr>
        <w:t>הגורמים</w:t>
      </w:r>
      <w:r w:rsidRPr="00472291">
        <w:rPr>
          <w:rFonts w:ascii="Century" w:hAnsi="Century" w:cs="Miriam"/>
          <w:b/>
          <w:spacing w:val="0"/>
          <w:szCs w:val="24"/>
          <w:rtl/>
        </w:rPr>
        <w:t xml:space="preserve"> </w:t>
      </w:r>
      <w:r w:rsidRPr="00472291">
        <w:rPr>
          <w:rFonts w:ascii="Century" w:hAnsi="Century" w:cs="Miriam" w:hint="eastAsia"/>
          <w:b/>
          <w:spacing w:val="0"/>
          <w:szCs w:val="24"/>
          <w:rtl/>
        </w:rPr>
        <w:t>הרלוונטיים</w:t>
      </w:r>
      <w:r>
        <w:rPr>
          <w:rFonts w:hint="cs"/>
          <w:rtl/>
        </w:rPr>
        <w:t>".</w:t>
      </w:r>
    </w:p>
    <w:p w:rsidR="00DB6151" w:rsidRDefault="00DB6151" w:rsidP="00DB6151">
      <w:pPr>
        <w:pStyle w:val="Ruller41"/>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ב. השתלשלות ההליכים בבית משפט זה</w:t>
      </w:r>
    </w:p>
    <w:p w:rsidR="00DB6151" w:rsidRPr="006C395E" w:rsidRDefault="00DB6151" w:rsidP="00DB6151">
      <w:pPr>
        <w:pStyle w:val="Ruller41"/>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ב.1. העתירה הראשונה והתגובה לה</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ביום 07.06.2022 נפתח ההליך שבכותרת, עת הגיש העותר עתירה למתן שני צווים על-תנאי, נגד היועץ המשפטי לממשלה דאז, כדלהלן:</w:t>
      </w:r>
    </w:p>
    <w:p w:rsidR="00DB6151" w:rsidRDefault="00DB6151" w:rsidP="00DB6151">
      <w:pPr>
        <w:pStyle w:val="Ruller5"/>
        <w:rPr>
          <w:rtl/>
        </w:rPr>
      </w:pPr>
      <w:r>
        <w:rPr>
          <w:rFonts w:hint="cs"/>
          <w:rtl/>
        </w:rPr>
        <w:t>"א. מדוע לא יורה על פתיחה בחקירה פלילית בנוגע לתלונת העותר בדבר הדלפות פליליות של חומרי חקירה והעברתם שלא כדין לגורמים בכלי תקשורת שונים;</w:t>
      </w:r>
    </w:p>
    <w:p w:rsidR="00DB6151" w:rsidRDefault="00DB6151" w:rsidP="00DB6151">
      <w:pPr>
        <w:pStyle w:val="Ruller5"/>
      </w:pPr>
      <w:r>
        <w:rPr>
          <w:rFonts w:hint="cs"/>
          <w:rtl/>
        </w:rPr>
        <w:t>ב. מדוע לא ינקוט לאלתר בכל האמצעים החוקיים העומדים לרשותו למנוע הדלפות מידע והעברת מידע שלא כדין מכאן ולהבא."</w:t>
      </w:r>
    </w:p>
    <w:p w:rsidR="00DB6151" w:rsidRDefault="00DB6151" w:rsidP="00DB6151">
      <w:pPr>
        <w:pStyle w:val="Ruller41"/>
        <w:overflowPunct/>
        <w:autoSpaceDE/>
        <w:autoSpaceDN/>
        <w:adjustRightInd/>
        <w:spacing w:before="240" w:after="240"/>
        <w:textAlignment w:val="auto"/>
      </w:pPr>
      <w:r>
        <w:rPr>
          <w:rtl/>
        </w:rPr>
        <w:tab/>
      </w:r>
      <w:r>
        <w:rPr>
          <w:rFonts w:hint="cs"/>
          <w:rtl/>
        </w:rPr>
        <w:t xml:space="preserve">בהמשך לכך נטען כי עניינה של העתירה במחדלו של היועץ המשפטי לממשלה מלהפעיל את הסמכויות המצויות בידו, ולהורות על פתיחה בחקירה לאיתור האחראים להדלפת חומרי החקירה כמתואר לעיל; הדלפה שהיא אך חוליה אחת בשרשרת של </w:t>
      </w:r>
      <w:r>
        <w:rPr>
          <w:rFonts w:hint="cs"/>
          <w:rtl/>
        </w:rPr>
        <w:lastRenderedPageBreak/>
        <w:t xml:space="preserve">הדלפות המלוות את ענייניו הפליליים של העותר מראשיתם. זאת ועוד נטען, כי חרף ראיות ברורות לכך שגורם כלשהו מתוך קבוצה מצומצמת של בעלי תפקידים ברשויות האכיפה הוא זה שאחראי להדלפה, וחרף החלטת בית המשפט המחוזי מיום 16.11.2022 </w:t>
      </w:r>
      <w:r>
        <w:rPr>
          <w:rtl/>
        </w:rPr>
        <w:t>–</w:t>
      </w:r>
      <w:r>
        <w:rPr>
          <w:rFonts w:hint="cs"/>
          <w:rtl/>
        </w:rPr>
        <w:t xml:space="preserve"> נכון למועד הגשת העתירה, קרי בחלוף למעלה מחצי שנה מאז פנייתו בראשונה של העותר בנדון, טרם נפתחה חקירה בנוגע להדלפות אלה ולא ננקטו צעדים כלשהם כדי לאתר את זהות הגורם המדליף.</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בו ביום הורה השופט </w:t>
      </w:r>
      <w:r w:rsidRPr="00D44B1B">
        <w:rPr>
          <w:rFonts w:ascii="Century" w:hAnsi="Century" w:cs="Miriam" w:hint="cs"/>
          <w:b/>
          <w:spacing w:val="0"/>
          <w:szCs w:val="24"/>
          <w:rtl/>
        </w:rPr>
        <w:t xml:space="preserve">ע' </w:t>
      </w:r>
      <w:proofErr w:type="spellStart"/>
      <w:r w:rsidRPr="00D44B1B">
        <w:rPr>
          <w:rFonts w:ascii="Century" w:hAnsi="Century" w:cs="Miriam" w:hint="cs"/>
          <w:b/>
          <w:spacing w:val="0"/>
          <w:szCs w:val="24"/>
          <w:rtl/>
        </w:rPr>
        <w:t>גרוסקופף</w:t>
      </w:r>
      <w:proofErr w:type="spellEnd"/>
      <w:r>
        <w:rPr>
          <w:rFonts w:hint="cs"/>
          <w:rtl/>
        </w:rPr>
        <w:t>, כשופט תורן, על קבלת תגובה מקדמית לעתירה.</w:t>
      </w:r>
    </w:p>
    <w:p w:rsidR="00DB6151" w:rsidRPr="002B5D3C"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לאחר שהתבקשה בפעם הרביעית ארכה לשם הגשת תגובה מקדמית, נקבעה </w:t>
      </w:r>
      <w:r w:rsidRPr="002B5D3C">
        <w:rPr>
          <w:rFonts w:hint="cs"/>
          <w:rtl/>
        </w:rPr>
        <w:t xml:space="preserve">העתירה לדיון בפני הרכב; אך בכך לא סגי והוגשו עוד שלוש בקשות ארכה </w:t>
      </w:r>
      <w:r>
        <w:rPr>
          <w:rFonts w:hint="cs"/>
          <w:rtl/>
        </w:rPr>
        <w:t xml:space="preserve">לשם הגשת תגובה, </w:t>
      </w:r>
      <w:r w:rsidRPr="002B5D3C">
        <w:rPr>
          <w:rFonts w:hint="cs"/>
          <w:rtl/>
        </w:rPr>
        <w:t>שהאחרונה שבהן הוגשה ביום 11.01.2023.</w:t>
      </w:r>
      <w:r>
        <w:rPr>
          <w:rFonts w:hint="cs"/>
          <w:rtl/>
        </w:rPr>
        <w:t xml:space="preserve"> </w:t>
      </w:r>
    </w:p>
    <w:p w:rsidR="00DB6151" w:rsidRDefault="00DB6151" w:rsidP="00DB6151">
      <w:pPr>
        <w:pStyle w:val="Ruller41"/>
        <w:numPr>
          <w:ilvl w:val="0"/>
          <w:numId w:val="13"/>
        </w:numPr>
        <w:overflowPunct/>
        <w:autoSpaceDE/>
        <w:autoSpaceDN/>
        <w:adjustRightInd/>
        <w:spacing w:before="240" w:after="240"/>
        <w:ind w:left="0" w:firstLine="0"/>
        <w:textAlignment w:val="auto"/>
      </w:pPr>
      <w:r w:rsidRPr="002B5D3C">
        <w:rPr>
          <w:rFonts w:hint="cs"/>
          <w:rtl/>
        </w:rPr>
        <w:t>ביום 12.</w:t>
      </w:r>
      <w:r>
        <w:rPr>
          <w:rFonts w:hint="cs"/>
          <w:rtl/>
        </w:rPr>
        <w:t xml:space="preserve">01.2023, שבוע אחד בלבד עובר למועד הדיון שנקבע ליום 19.01.2023, </w:t>
      </w:r>
      <w:r w:rsidRPr="002B5D3C">
        <w:rPr>
          <w:rFonts w:hint="cs"/>
          <w:rtl/>
        </w:rPr>
        <w:t>התקבלה החלטת היועצת</w:t>
      </w:r>
      <w:r>
        <w:rPr>
          <w:rFonts w:hint="cs"/>
          <w:rtl/>
        </w:rPr>
        <w:t>. בו ביום הוגשה תגובה מקדמית תמציתית לעתירה מטעם היועצת.</w:t>
      </w:r>
    </w:p>
    <w:p w:rsidR="00DB6151" w:rsidRDefault="00DB6151" w:rsidP="00DB6151">
      <w:pPr>
        <w:pStyle w:val="Ruller41"/>
        <w:overflowPunct/>
        <w:autoSpaceDE/>
        <w:autoSpaceDN/>
        <w:adjustRightInd/>
        <w:spacing w:before="240" w:after="240"/>
        <w:textAlignment w:val="auto"/>
      </w:pPr>
      <w:r>
        <w:rPr>
          <w:rtl/>
        </w:rPr>
        <w:tab/>
      </w:r>
      <w:r>
        <w:rPr>
          <w:rFonts w:hint="cs"/>
          <w:rtl/>
        </w:rPr>
        <w:t xml:space="preserve">בתגובה צוין, כפי שעולה מהחלטת היועצת שתפורט להלן, כי הטענות מושא העתירה נבחנו באופן מקצועי, בהליך סדור שכלל ישיבות בראשות היועצת ובהשתתפות גורמים בכירים, לרבות גורמים מאגף חקירות ומודיעין במשטרת ישראל. עוד הוסבר כי בסיומו של ההליך ובשים לב להנחיית היועץ, לפסיקת בית משפט זה, ולהמלצת פרקליט המדינה וראש אגף חקירות ומודיעין במשטרה </w:t>
      </w:r>
      <w:r>
        <w:rPr>
          <w:rtl/>
        </w:rPr>
        <w:t>–</w:t>
      </w:r>
      <w:r>
        <w:rPr>
          <w:rFonts w:hint="cs"/>
          <w:rtl/>
        </w:rPr>
        <w:t xml:space="preserve"> החליטה היועצת שאין מקום לפתוח בחקירה פלילית בנסיבות העניין. בצד זאת צוין דבר החלטת היועצת בקשר לעבודת מטה שהיא בחרה ליזום. לאור האמור, נטען כי התשתית העובדתית עליה התבססה העתירה השתנתה באופן מהותי, וכי עתה על העותר ללמוד את החלטת היועצת המשפטית לממשלה ולשקול "</w:t>
      </w:r>
      <w:r w:rsidRPr="00C90C20">
        <w:rPr>
          <w:rFonts w:ascii="Century" w:hAnsi="Century" w:cs="Miriam" w:hint="eastAsia"/>
          <w:b/>
          <w:spacing w:val="0"/>
          <w:szCs w:val="24"/>
          <w:rtl/>
        </w:rPr>
        <w:t>אם</w:t>
      </w:r>
      <w:r w:rsidRPr="00C90C20">
        <w:rPr>
          <w:rFonts w:ascii="Century" w:hAnsi="Century" w:cs="Miriam"/>
          <w:b/>
          <w:spacing w:val="0"/>
          <w:szCs w:val="24"/>
          <w:rtl/>
        </w:rPr>
        <w:t xml:space="preserve"> </w:t>
      </w:r>
      <w:r w:rsidRPr="00C90C20">
        <w:rPr>
          <w:rFonts w:ascii="Century" w:hAnsi="Century" w:cs="Miriam" w:hint="eastAsia"/>
          <w:b/>
          <w:spacing w:val="0"/>
          <w:szCs w:val="24"/>
          <w:rtl/>
        </w:rPr>
        <w:t>בדעתו</w:t>
      </w:r>
      <w:r w:rsidRPr="00C90C20">
        <w:rPr>
          <w:rFonts w:ascii="Century" w:hAnsi="Century" w:cs="Miriam"/>
          <w:b/>
          <w:spacing w:val="0"/>
          <w:szCs w:val="24"/>
          <w:rtl/>
        </w:rPr>
        <w:t xml:space="preserve"> </w:t>
      </w:r>
      <w:r w:rsidRPr="00C90C20">
        <w:rPr>
          <w:rFonts w:ascii="Century" w:hAnsi="Century" w:cs="Miriam" w:hint="eastAsia"/>
          <w:b/>
          <w:spacing w:val="0"/>
          <w:szCs w:val="24"/>
          <w:rtl/>
        </w:rPr>
        <w:t>לעמוד</w:t>
      </w:r>
      <w:r w:rsidRPr="00C90C20">
        <w:rPr>
          <w:rFonts w:ascii="Century" w:hAnsi="Century" w:cs="Miriam"/>
          <w:b/>
          <w:spacing w:val="0"/>
          <w:szCs w:val="24"/>
          <w:rtl/>
        </w:rPr>
        <w:t xml:space="preserve"> </w:t>
      </w:r>
      <w:r w:rsidRPr="00C90C20">
        <w:rPr>
          <w:rFonts w:ascii="Century" w:hAnsi="Century" w:cs="Miriam" w:hint="eastAsia"/>
          <w:b/>
          <w:spacing w:val="0"/>
          <w:szCs w:val="24"/>
          <w:rtl/>
        </w:rPr>
        <w:t>על</w:t>
      </w:r>
      <w:r w:rsidRPr="00C90C20">
        <w:rPr>
          <w:rFonts w:ascii="Century" w:hAnsi="Century" w:cs="Miriam"/>
          <w:b/>
          <w:spacing w:val="0"/>
          <w:szCs w:val="24"/>
          <w:rtl/>
        </w:rPr>
        <w:t xml:space="preserve"> </w:t>
      </w:r>
      <w:r w:rsidRPr="00C90C20">
        <w:rPr>
          <w:rFonts w:ascii="Century" w:hAnsi="Century" w:cs="Miriam" w:hint="eastAsia"/>
          <w:b/>
          <w:spacing w:val="0"/>
          <w:szCs w:val="24"/>
          <w:rtl/>
        </w:rPr>
        <w:t>העתירה</w:t>
      </w:r>
      <w:r>
        <w:rPr>
          <w:rFonts w:hint="cs"/>
          <w:rtl/>
        </w:rPr>
        <w:t xml:space="preserve">", וככל שכך יסבור </w:t>
      </w:r>
      <w:r>
        <w:rPr>
          <w:rtl/>
        </w:rPr>
        <w:t>–</w:t>
      </w:r>
      <w:r>
        <w:rPr>
          <w:rFonts w:hint="cs"/>
          <w:rtl/>
        </w:rPr>
        <w:t xml:space="preserve"> יש מקום לתקנה על מנת שנימוקיה יתייחסו להחלטה העדכנית.</w:t>
      </w:r>
    </w:p>
    <w:p w:rsidR="00DB6151" w:rsidRPr="000802E8" w:rsidRDefault="00DB6151" w:rsidP="004356B2">
      <w:pPr>
        <w:pStyle w:val="Ruller41"/>
        <w:keepNext/>
        <w:overflowPunct/>
        <w:autoSpaceDE/>
        <w:autoSpaceDN/>
        <w:adjustRightInd/>
        <w:spacing w:before="240" w:after="240"/>
        <w:textAlignment w:val="auto"/>
        <w:rPr>
          <w:rFonts w:ascii="Century" w:hAnsi="Century" w:cs="Miriam"/>
          <w:b/>
          <w:spacing w:val="0"/>
          <w:szCs w:val="24"/>
        </w:rPr>
      </w:pPr>
      <w:r>
        <w:rPr>
          <w:rFonts w:ascii="Century" w:hAnsi="Century" w:cs="Miriam" w:hint="cs"/>
          <w:b/>
          <w:spacing w:val="0"/>
          <w:szCs w:val="24"/>
          <w:rtl/>
        </w:rPr>
        <w:t xml:space="preserve">ב.2. </w:t>
      </w:r>
      <w:r w:rsidRPr="000802E8">
        <w:rPr>
          <w:rFonts w:ascii="Century" w:hAnsi="Century" w:cs="Miriam" w:hint="cs"/>
          <w:b/>
          <w:spacing w:val="0"/>
          <w:szCs w:val="24"/>
          <w:rtl/>
        </w:rPr>
        <w:t>עיקרי החלטת היועצת</w:t>
      </w:r>
    </w:p>
    <w:p w:rsidR="00DB6151" w:rsidRPr="002B5D3C" w:rsidRDefault="00DB6151" w:rsidP="00DB6151">
      <w:pPr>
        <w:pStyle w:val="Ruller41"/>
        <w:numPr>
          <w:ilvl w:val="0"/>
          <w:numId w:val="13"/>
        </w:numPr>
        <w:overflowPunct/>
        <w:autoSpaceDE/>
        <w:autoSpaceDN/>
        <w:adjustRightInd/>
        <w:spacing w:before="240" w:after="240"/>
        <w:ind w:left="0" w:firstLine="0"/>
        <w:textAlignment w:val="auto"/>
      </w:pPr>
      <w:r w:rsidRPr="002B5D3C">
        <w:rPr>
          <w:rFonts w:hint="cs"/>
          <w:rtl/>
        </w:rPr>
        <w:t xml:space="preserve">בפתח ההחלטה הדגישה </w:t>
      </w:r>
      <w:r>
        <w:rPr>
          <w:rFonts w:hint="cs"/>
          <w:rtl/>
        </w:rPr>
        <w:t>היועצת שלוש נקודות. ראשית,</w:t>
      </w:r>
      <w:r w:rsidRPr="002B5D3C">
        <w:rPr>
          <w:rFonts w:hint="cs"/>
          <w:rtl/>
        </w:rPr>
        <w:t xml:space="preserve"> כי לאחר בדיקה בהתאם לכללים המנחים </w:t>
      </w:r>
      <w:r w:rsidRPr="002B5D3C">
        <w:rPr>
          <w:rtl/>
        </w:rPr>
        <w:t>–</w:t>
      </w:r>
      <w:r w:rsidRPr="002B5D3C">
        <w:rPr>
          <w:rFonts w:hint="cs"/>
          <w:rtl/>
        </w:rPr>
        <w:t xml:space="preserve"> אין בנסיבות העניין</w:t>
      </w:r>
      <w:r>
        <w:rPr>
          <w:rFonts w:hint="cs"/>
          <w:rtl/>
        </w:rPr>
        <w:t xml:space="preserve"> הפרטני</w:t>
      </w:r>
      <w:r w:rsidRPr="002B5D3C">
        <w:rPr>
          <w:rFonts w:hint="cs"/>
          <w:rtl/>
        </w:rPr>
        <w:t xml:space="preserve"> בסיס מספק לפתיחה בחקירה פלילית; שנית, כי החלטתה לא פורשת את מלוא התמונה העובדתית בשים לב לכך שההליך העיקרי עדיין מתנהל; שלישית, כי התופעה </w:t>
      </w:r>
      <w:r>
        <w:rPr>
          <w:rFonts w:hint="cs"/>
          <w:rtl/>
        </w:rPr>
        <w:t xml:space="preserve">שעניינה מסירת מידע האסור בגילוי </w:t>
      </w:r>
      <w:r w:rsidRPr="002B5D3C">
        <w:rPr>
          <w:rtl/>
        </w:rPr>
        <w:t>–</w:t>
      </w:r>
      <w:r>
        <w:rPr>
          <w:rFonts w:hint="cs"/>
          <w:rtl/>
        </w:rPr>
        <w:t xml:space="preserve"> מדאיגה;</w:t>
      </w:r>
      <w:r w:rsidRPr="002B5D3C">
        <w:rPr>
          <w:rFonts w:hint="cs"/>
          <w:rtl/>
        </w:rPr>
        <w:t xml:space="preserve"> ובכוונתה לעשות כל שניתן כדי למנוע את הישנותה. אחר דברים אלה עמדה </w:t>
      </w:r>
      <w:r>
        <w:rPr>
          <w:rFonts w:hint="cs"/>
          <w:rtl/>
        </w:rPr>
        <w:lastRenderedPageBreak/>
        <w:t>היועצת</w:t>
      </w:r>
      <w:r w:rsidRPr="002B5D3C">
        <w:rPr>
          <w:rFonts w:hint="cs"/>
          <w:rtl/>
        </w:rPr>
        <w:t xml:space="preserve"> על עיקרי העובדות הצריכות לעניין. או אז פנתה לתיאור הנחיית היועץ המשפטי לממשלה מס' 4.1114 "</w:t>
      </w:r>
      <w:r w:rsidRPr="00C90C20">
        <w:rPr>
          <w:rFonts w:ascii="Century" w:hAnsi="Century" w:cs="Miriam" w:hint="eastAsia"/>
          <w:b/>
          <w:spacing w:val="0"/>
          <w:szCs w:val="24"/>
          <w:rtl/>
        </w:rPr>
        <w:t>קווים</w:t>
      </w:r>
      <w:r w:rsidRPr="00C90C20">
        <w:rPr>
          <w:rFonts w:ascii="Century" w:hAnsi="Century" w:cs="Miriam"/>
          <w:b/>
          <w:spacing w:val="0"/>
          <w:szCs w:val="24"/>
          <w:rtl/>
        </w:rPr>
        <w:t xml:space="preserve"> </w:t>
      </w:r>
      <w:r w:rsidRPr="00C90C20">
        <w:rPr>
          <w:rFonts w:ascii="Century" w:hAnsi="Century" w:cs="Miriam" w:hint="eastAsia"/>
          <w:b/>
          <w:spacing w:val="0"/>
          <w:szCs w:val="24"/>
          <w:rtl/>
        </w:rPr>
        <w:t>מנחים</w:t>
      </w:r>
      <w:r w:rsidRPr="00C90C20">
        <w:rPr>
          <w:rFonts w:ascii="Century" w:hAnsi="Century" w:cs="Miriam"/>
          <w:b/>
          <w:spacing w:val="0"/>
          <w:szCs w:val="24"/>
          <w:rtl/>
        </w:rPr>
        <w:t xml:space="preserve"> </w:t>
      </w:r>
      <w:r w:rsidRPr="00C90C20">
        <w:rPr>
          <w:rFonts w:ascii="Century" w:hAnsi="Century" w:cs="Miriam" w:hint="eastAsia"/>
          <w:b/>
          <w:spacing w:val="0"/>
          <w:szCs w:val="24"/>
          <w:rtl/>
        </w:rPr>
        <w:t>למדיניות</w:t>
      </w:r>
      <w:r w:rsidRPr="00C90C20">
        <w:rPr>
          <w:rFonts w:ascii="Century" w:hAnsi="Century" w:cs="Miriam"/>
          <w:b/>
          <w:spacing w:val="0"/>
          <w:szCs w:val="24"/>
          <w:rtl/>
        </w:rPr>
        <w:t xml:space="preserve"> </w:t>
      </w:r>
      <w:r w:rsidRPr="00C90C20">
        <w:rPr>
          <w:rFonts w:ascii="Century" w:hAnsi="Century" w:cs="Miriam" w:hint="eastAsia"/>
          <w:b/>
          <w:spacing w:val="0"/>
          <w:szCs w:val="24"/>
          <w:rtl/>
        </w:rPr>
        <w:t>אכיפה</w:t>
      </w:r>
      <w:r w:rsidRPr="00C90C20">
        <w:rPr>
          <w:rFonts w:ascii="Century" w:hAnsi="Century" w:cs="Miriam"/>
          <w:b/>
          <w:spacing w:val="0"/>
          <w:szCs w:val="24"/>
          <w:rtl/>
        </w:rPr>
        <w:t xml:space="preserve"> </w:t>
      </w:r>
      <w:r w:rsidRPr="00C90C20">
        <w:rPr>
          <w:rFonts w:ascii="Century" w:hAnsi="Century" w:cs="Miriam" w:hint="eastAsia"/>
          <w:b/>
          <w:spacing w:val="0"/>
          <w:szCs w:val="24"/>
          <w:rtl/>
        </w:rPr>
        <w:t>בעבירות</w:t>
      </w:r>
      <w:r w:rsidRPr="00C90C20">
        <w:rPr>
          <w:rFonts w:ascii="Century" w:hAnsi="Century" w:cs="Miriam"/>
          <w:b/>
          <w:spacing w:val="0"/>
          <w:szCs w:val="24"/>
          <w:rtl/>
        </w:rPr>
        <w:t xml:space="preserve"> </w:t>
      </w:r>
      <w:r w:rsidRPr="00C90C20">
        <w:rPr>
          <w:rFonts w:ascii="Century" w:hAnsi="Century" w:cs="Miriam" w:hint="eastAsia"/>
          <w:b/>
          <w:spacing w:val="0"/>
          <w:szCs w:val="24"/>
          <w:rtl/>
        </w:rPr>
        <w:t>הנוגעות</w:t>
      </w:r>
      <w:r w:rsidRPr="00C90C20">
        <w:rPr>
          <w:rFonts w:ascii="Century" w:hAnsi="Century" w:cs="Miriam"/>
          <w:b/>
          <w:spacing w:val="0"/>
          <w:szCs w:val="24"/>
          <w:rtl/>
        </w:rPr>
        <w:t xml:space="preserve"> </w:t>
      </w:r>
      <w:r w:rsidRPr="00C90C20">
        <w:rPr>
          <w:rFonts w:ascii="Century" w:hAnsi="Century" w:cs="Miriam" w:hint="eastAsia"/>
          <w:b/>
          <w:spacing w:val="0"/>
          <w:szCs w:val="24"/>
          <w:rtl/>
        </w:rPr>
        <w:t>למסירת</w:t>
      </w:r>
      <w:r w:rsidRPr="00C90C20">
        <w:rPr>
          <w:rFonts w:ascii="Century" w:hAnsi="Century" w:cs="Miriam"/>
          <w:b/>
          <w:spacing w:val="0"/>
          <w:szCs w:val="24"/>
          <w:rtl/>
        </w:rPr>
        <w:t xml:space="preserve"> </w:t>
      </w:r>
      <w:r w:rsidRPr="00C90C20">
        <w:rPr>
          <w:rFonts w:ascii="Century" w:hAnsi="Century" w:cs="Miriam" w:hint="eastAsia"/>
          <w:b/>
          <w:spacing w:val="0"/>
          <w:szCs w:val="24"/>
          <w:rtl/>
        </w:rPr>
        <w:t>מידע</w:t>
      </w:r>
      <w:r w:rsidRPr="00C90C20">
        <w:rPr>
          <w:rFonts w:ascii="Century" w:hAnsi="Century" w:cs="Miriam"/>
          <w:b/>
          <w:spacing w:val="0"/>
          <w:szCs w:val="24"/>
          <w:rtl/>
        </w:rPr>
        <w:t xml:space="preserve"> </w:t>
      </w:r>
      <w:r w:rsidRPr="00C90C20">
        <w:rPr>
          <w:rFonts w:ascii="Century" w:hAnsi="Century" w:cs="Miriam" w:hint="eastAsia"/>
          <w:b/>
          <w:spacing w:val="0"/>
          <w:szCs w:val="24"/>
          <w:rtl/>
        </w:rPr>
        <w:t>האסור</w:t>
      </w:r>
      <w:r w:rsidRPr="00C90C20">
        <w:rPr>
          <w:rFonts w:ascii="Century" w:hAnsi="Century" w:cs="Miriam"/>
          <w:b/>
          <w:spacing w:val="0"/>
          <w:szCs w:val="24"/>
          <w:rtl/>
        </w:rPr>
        <w:t xml:space="preserve"> </w:t>
      </w:r>
      <w:r w:rsidRPr="00C90C20">
        <w:rPr>
          <w:rFonts w:ascii="Century" w:hAnsi="Century" w:cs="Miriam" w:hint="eastAsia"/>
          <w:b/>
          <w:spacing w:val="0"/>
          <w:szCs w:val="24"/>
          <w:rtl/>
        </w:rPr>
        <w:t>בגילוי</w:t>
      </w:r>
      <w:r w:rsidRPr="002B5D3C">
        <w:rPr>
          <w:rFonts w:hint="cs"/>
          <w:rtl/>
        </w:rPr>
        <w:t xml:space="preserve">" </w:t>
      </w:r>
      <w:r>
        <w:rPr>
          <w:rFonts w:hint="cs"/>
          <w:rtl/>
        </w:rPr>
        <w:t xml:space="preserve">מיום 04.02.2020 </w:t>
      </w:r>
      <w:r w:rsidRPr="002B5D3C">
        <w:rPr>
          <w:rFonts w:hint="cs"/>
          <w:rtl/>
        </w:rPr>
        <w:t xml:space="preserve">(להלן: </w:t>
      </w:r>
      <w:r w:rsidRPr="002B5D3C">
        <w:rPr>
          <w:rFonts w:ascii="Century" w:hAnsi="Century" w:cs="Miriam" w:hint="cs"/>
          <w:b/>
          <w:spacing w:val="0"/>
          <w:szCs w:val="24"/>
          <w:rtl/>
        </w:rPr>
        <w:t>הנחיית היועץ</w:t>
      </w:r>
      <w:r w:rsidRPr="002B5D3C">
        <w:rPr>
          <w:rFonts w:hint="cs"/>
          <w:rtl/>
        </w:rPr>
        <w:t xml:space="preserve">), לפיה </w:t>
      </w:r>
      <w:r>
        <w:rPr>
          <w:rFonts w:hint="cs"/>
          <w:rtl/>
        </w:rPr>
        <w:t>"</w:t>
      </w:r>
      <w:r w:rsidRPr="009C0AEB">
        <w:rPr>
          <w:rFonts w:ascii="Century" w:hAnsi="Century" w:cs="Miriam" w:hint="eastAsia"/>
          <w:b/>
          <w:spacing w:val="0"/>
          <w:szCs w:val="24"/>
          <w:rtl/>
        </w:rPr>
        <w:t>החלטה</w:t>
      </w:r>
      <w:r w:rsidRPr="009C0AEB">
        <w:rPr>
          <w:rFonts w:ascii="Century" w:hAnsi="Century" w:cs="Miriam"/>
          <w:b/>
          <w:spacing w:val="0"/>
          <w:szCs w:val="24"/>
          <w:rtl/>
        </w:rPr>
        <w:t xml:space="preserve"> </w:t>
      </w:r>
      <w:r w:rsidRPr="00657132">
        <w:rPr>
          <w:rFonts w:ascii="Century" w:hAnsi="Century" w:cs="Miriam"/>
          <w:b/>
          <w:spacing w:val="0"/>
          <w:szCs w:val="24"/>
          <w:rtl/>
        </w:rPr>
        <w:t>אם לפתוח בחקירה פלילית נגד עובדי ציבור בנוגע לעבירה של מסירת מידע האסור בגילוי, טעונה איזון עדין ומורכב בין השיקולים והאינטרסים שעל הפרק</w:t>
      </w:r>
      <w:r>
        <w:rPr>
          <w:rFonts w:ascii="Century" w:hAnsi="Century" w:hint="cs"/>
          <w:rtl/>
        </w:rPr>
        <w:t>" (סעיף 11 להחלטת היועצת)</w:t>
      </w:r>
      <w:r w:rsidRPr="00472291">
        <w:rPr>
          <w:rFonts w:ascii="Century" w:hAnsi="Century"/>
          <w:rtl/>
        </w:rPr>
        <w:t>.</w:t>
      </w:r>
      <w:r w:rsidRPr="009C0AEB">
        <w:rPr>
          <w:rFonts w:ascii="Century" w:hAnsi="Century" w:cs="Miriam"/>
          <w:b/>
          <w:spacing w:val="0"/>
          <w:szCs w:val="24"/>
          <w:rtl/>
        </w:rPr>
        <w:t xml:space="preserve"> </w:t>
      </w:r>
      <w:r w:rsidRPr="00472291">
        <w:rPr>
          <w:rFonts w:ascii="Century" w:hAnsi="Century" w:hint="eastAsia"/>
          <w:rtl/>
        </w:rPr>
        <w:t>לפי</w:t>
      </w:r>
      <w:r w:rsidRPr="00472291">
        <w:rPr>
          <w:rFonts w:ascii="Century" w:hAnsi="Century"/>
          <w:rtl/>
        </w:rPr>
        <w:t xml:space="preserve"> </w:t>
      </w:r>
      <w:r>
        <w:rPr>
          <w:rFonts w:ascii="Century" w:hAnsi="Century" w:hint="cs"/>
          <w:rtl/>
        </w:rPr>
        <w:t>האמור</w:t>
      </w:r>
      <w:r w:rsidRPr="00472291">
        <w:rPr>
          <w:rFonts w:ascii="Century" w:hAnsi="Century"/>
          <w:rtl/>
        </w:rPr>
        <w:t xml:space="preserve"> </w:t>
      </w:r>
      <w:r w:rsidRPr="00472291">
        <w:rPr>
          <w:rFonts w:ascii="Century" w:hAnsi="Century" w:hint="eastAsia"/>
          <w:rtl/>
        </w:rPr>
        <w:t>בהחלטה</w:t>
      </w:r>
      <w:r w:rsidRPr="00472291">
        <w:rPr>
          <w:rFonts w:ascii="Century" w:hAnsi="Century"/>
          <w:rtl/>
        </w:rPr>
        <w:t xml:space="preserve"> </w:t>
      </w:r>
      <w:r w:rsidRPr="00472291">
        <w:rPr>
          <w:rFonts w:ascii="Century" w:hAnsi="Century" w:hint="eastAsia"/>
          <w:rtl/>
        </w:rPr>
        <w:t>וכעולה</w:t>
      </w:r>
      <w:r w:rsidRPr="00472291">
        <w:rPr>
          <w:rFonts w:ascii="Century" w:hAnsi="Century"/>
          <w:rtl/>
        </w:rPr>
        <w:t xml:space="preserve"> </w:t>
      </w:r>
      <w:r w:rsidRPr="00472291">
        <w:rPr>
          <w:rFonts w:ascii="Century" w:hAnsi="Century" w:hint="eastAsia"/>
          <w:rtl/>
        </w:rPr>
        <w:t>מהנחיית</w:t>
      </w:r>
      <w:r w:rsidRPr="00472291">
        <w:rPr>
          <w:rFonts w:ascii="Century" w:hAnsi="Century"/>
          <w:rtl/>
        </w:rPr>
        <w:t xml:space="preserve"> </w:t>
      </w:r>
      <w:r w:rsidRPr="00472291">
        <w:rPr>
          <w:rFonts w:ascii="Century" w:hAnsi="Century" w:hint="eastAsia"/>
          <w:rtl/>
        </w:rPr>
        <w:t>היועץ</w:t>
      </w:r>
      <w:r>
        <w:rPr>
          <w:rFonts w:ascii="Century" w:hAnsi="Century" w:hint="cs"/>
          <w:rtl/>
        </w:rPr>
        <w:t>,</w:t>
      </w:r>
      <w:r w:rsidRPr="00472291">
        <w:rPr>
          <w:rFonts w:ascii="Century" w:hAnsi="Century"/>
          <w:rtl/>
        </w:rPr>
        <w:t xml:space="preserve"> </w:t>
      </w:r>
      <w:r>
        <w:rPr>
          <w:rFonts w:ascii="Century" w:hAnsi="Century" w:hint="cs"/>
          <w:rtl/>
        </w:rPr>
        <w:t>"</w:t>
      </w:r>
      <w:r w:rsidRPr="009C0AEB">
        <w:rPr>
          <w:rFonts w:ascii="Century" w:hAnsi="Century" w:cs="Miriam" w:hint="eastAsia"/>
          <w:b/>
          <w:spacing w:val="0"/>
          <w:szCs w:val="24"/>
          <w:rtl/>
        </w:rPr>
        <w:t>במוקד</w:t>
      </w:r>
      <w:r w:rsidRPr="009C0AEB">
        <w:rPr>
          <w:rFonts w:ascii="Century" w:hAnsi="Century" w:cs="Miriam"/>
          <w:b/>
          <w:spacing w:val="0"/>
          <w:szCs w:val="24"/>
          <w:rtl/>
        </w:rPr>
        <w:t xml:space="preserve"> </w:t>
      </w:r>
      <w:r w:rsidRPr="009C0AEB">
        <w:rPr>
          <w:rFonts w:ascii="Century" w:hAnsi="Century" w:cs="Miriam" w:hint="eastAsia"/>
          <w:b/>
          <w:spacing w:val="0"/>
          <w:szCs w:val="24"/>
          <w:rtl/>
        </w:rPr>
        <w:t>השיקולים</w:t>
      </w:r>
      <w:r w:rsidRPr="00657132">
        <w:rPr>
          <w:rFonts w:ascii="Century" w:hAnsi="Century" w:cs="Miriam"/>
          <w:b/>
          <w:spacing w:val="0"/>
          <w:szCs w:val="24"/>
          <w:rtl/>
        </w:rPr>
        <w:t xml:space="preserve"> </w:t>
      </w:r>
      <w:r w:rsidRPr="00657132">
        <w:rPr>
          <w:rFonts w:ascii="Century" w:hAnsi="Century" w:cs="Miriam" w:hint="eastAsia"/>
          <w:b/>
          <w:spacing w:val="0"/>
          <w:szCs w:val="24"/>
          <w:rtl/>
        </w:rPr>
        <w:t>עומדים</w:t>
      </w:r>
      <w:r w:rsidRPr="00657132">
        <w:rPr>
          <w:rFonts w:ascii="Century" w:hAnsi="Century" w:cs="Miriam"/>
          <w:b/>
          <w:spacing w:val="0"/>
          <w:szCs w:val="24"/>
          <w:rtl/>
        </w:rPr>
        <w:t xml:space="preserve"> </w:t>
      </w:r>
      <w:r w:rsidRPr="00657132">
        <w:rPr>
          <w:rFonts w:ascii="Century" w:hAnsi="Century" w:cs="Miriam" w:hint="eastAsia"/>
          <w:b/>
          <w:spacing w:val="0"/>
          <w:szCs w:val="24"/>
          <w:rtl/>
        </w:rPr>
        <w:t>מהות</w:t>
      </w:r>
      <w:r w:rsidRPr="004B0A03">
        <w:rPr>
          <w:rFonts w:ascii="Century" w:hAnsi="Century" w:cs="Miriam"/>
          <w:b/>
          <w:spacing w:val="0"/>
          <w:szCs w:val="24"/>
          <w:rtl/>
        </w:rPr>
        <w:t xml:space="preserve"> </w:t>
      </w:r>
      <w:r w:rsidRPr="00130DFA">
        <w:rPr>
          <w:rFonts w:ascii="Century" w:hAnsi="Century" w:cs="Miriam" w:hint="eastAsia"/>
          <w:b/>
          <w:spacing w:val="0"/>
          <w:szCs w:val="24"/>
          <w:rtl/>
        </w:rPr>
        <w:t>האינטרסים</w:t>
      </w:r>
      <w:r w:rsidRPr="00130DFA">
        <w:rPr>
          <w:rFonts w:ascii="Century" w:hAnsi="Century" w:cs="Miriam"/>
          <w:b/>
          <w:spacing w:val="0"/>
          <w:szCs w:val="24"/>
          <w:rtl/>
        </w:rPr>
        <w:t xml:space="preserve"> </w:t>
      </w:r>
      <w:r w:rsidRPr="00130DFA">
        <w:rPr>
          <w:rFonts w:ascii="Century" w:hAnsi="Century" w:cs="Miriam" w:hint="eastAsia"/>
          <w:b/>
          <w:spacing w:val="0"/>
          <w:szCs w:val="24"/>
          <w:rtl/>
        </w:rPr>
        <w:t>המוגנים</w:t>
      </w:r>
      <w:r w:rsidRPr="009C0AEB">
        <w:rPr>
          <w:rFonts w:ascii="Century" w:hAnsi="Century" w:cs="Miriam"/>
          <w:b/>
          <w:spacing w:val="0"/>
          <w:szCs w:val="24"/>
          <w:rtl/>
        </w:rPr>
        <w:t xml:space="preserve"> </w:t>
      </w:r>
      <w:r w:rsidRPr="009C0AEB">
        <w:rPr>
          <w:rFonts w:ascii="Century" w:hAnsi="Century" w:cs="Miriam" w:hint="eastAsia"/>
          <w:b/>
          <w:spacing w:val="0"/>
          <w:szCs w:val="24"/>
          <w:rtl/>
        </w:rPr>
        <w:t>בנסיבות</w:t>
      </w:r>
      <w:r w:rsidRPr="009C0AEB">
        <w:rPr>
          <w:rFonts w:ascii="Century" w:hAnsi="Century" w:cs="Miriam"/>
          <w:b/>
          <w:spacing w:val="0"/>
          <w:szCs w:val="24"/>
          <w:rtl/>
        </w:rPr>
        <w:t xml:space="preserve"> </w:t>
      </w:r>
      <w:r w:rsidRPr="009C0AEB">
        <w:rPr>
          <w:rFonts w:ascii="Century" w:hAnsi="Century" w:cs="Miriam" w:hint="eastAsia"/>
          <w:b/>
          <w:spacing w:val="0"/>
          <w:szCs w:val="24"/>
          <w:rtl/>
        </w:rPr>
        <w:t>העניין</w:t>
      </w:r>
      <w:r w:rsidRPr="009C0AEB">
        <w:rPr>
          <w:rFonts w:ascii="Century" w:hAnsi="Century" w:cs="Miriam"/>
          <w:b/>
          <w:spacing w:val="0"/>
          <w:szCs w:val="24"/>
          <w:rtl/>
        </w:rPr>
        <w:t xml:space="preserve"> </w:t>
      </w:r>
      <w:r w:rsidRPr="009C0AEB">
        <w:rPr>
          <w:rFonts w:ascii="Century" w:hAnsi="Century" w:cs="Miriam" w:hint="eastAsia"/>
          <w:b/>
          <w:spacing w:val="0"/>
          <w:szCs w:val="24"/>
          <w:rtl/>
        </w:rPr>
        <w:t>ועוצמת</w:t>
      </w:r>
      <w:r w:rsidRPr="009C0AEB">
        <w:rPr>
          <w:rFonts w:ascii="Century" w:hAnsi="Century" w:cs="Miriam"/>
          <w:b/>
          <w:spacing w:val="0"/>
          <w:szCs w:val="24"/>
          <w:rtl/>
        </w:rPr>
        <w:t xml:space="preserve"> </w:t>
      </w:r>
      <w:r w:rsidRPr="009C0AEB">
        <w:rPr>
          <w:rFonts w:ascii="Century" w:hAnsi="Century" w:cs="Miriam" w:hint="eastAsia"/>
          <w:b/>
          <w:spacing w:val="0"/>
          <w:szCs w:val="24"/>
          <w:rtl/>
        </w:rPr>
        <w:t>הפגיעה</w:t>
      </w:r>
      <w:r w:rsidRPr="009C0AEB">
        <w:rPr>
          <w:rFonts w:ascii="Century" w:hAnsi="Century" w:cs="Miriam"/>
          <w:b/>
          <w:spacing w:val="0"/>
          <w:szCs w:val="24"/>
          <w:rtl/>
        </w:rPr>
        <w:t xml:space="preserve"> </w:t>
      </w:r>
      <w:r w:rsidRPr="009C0AEB">
        <w:rPr>
          <w:rFonts w:ascii="Century" w:hAnsi="Century" w:cs="Miriam" w:hint="eastAsia"/>
          <w:b/>
          <w:spacing w:val="0"/>
          <w:szCs w:val="24"/>
          <w:rtl/>
        </w:rPr>
        <w:t>בהם</w:t>
      </w:r>
      <w:r w:rsidRPr="009C0AEB">
        <w:rPr>
          <w:rFonts w:ascii="Century" w:hAnsi="Century" w:cs="Miriam"/>
          <w:b/>
          <w:spacing w:val="0"/>
          <w:szCs w:val="24"/>
          <w:rtl/>
        </w:rPr>
        <w:t xml:space="preserve"> </w:t>
      </w:r>
      <w:r w:rsidRPr="009C0AEB">
        <w:rPr>
          <w:rFonts w:ascii="Century" w:hAnsi="Century" w:cs="Miriam" w:hint="eastAsia"/>
          <w:b/>
          <w:spacing w:val="0"/>
          <w:szCs w:val="24"/>
          <w:rtl/>
        </w:rPr>
        <w:t>עקב</w:t>
      </w:r>
      <w:r w:rsidRPr="009C0AEB">
        <w:rPr>
          <w:rFonts w:ascii="Century" w:hAnsi="Century" w:cs="Miriam"/>
          <w:b/>
          <w:spacing w:val="0"/>
          <w:szCs w:val="24"/>
          <w:rtl/>
        </w:rPr>
        <w:t xml:space="preserve"> </w:t>
      </w:r>
      <w:r w:rsidRPr="009C0AEB">
        <w:rPr>
          <w:rFonts w:ascii="Century" w:hAnsi="Century" w:cs="Miriam" w:hint="eastAsia"/>
          <w:b/>
          <w:spacing w:val="0"/>
          <w:szCs w:val="24"/>
          <w:rtl/>
        </w:rPr>
        <w:t>מסירת</w:t>
      </w:r>
      <w:r w:rsidRPr="009C0AEB">
        <w:rPr>
          <w:rFonts w:ascii="Century" w:hAnsi="Century" w:cs="Miriam"/>
          <w:b/>
          <w:spacing w:val="0"/>
          <w:szCs w:val="24"/>
          <w:rtl/>
        </w:rPr>
        <w:t xml:space="preserve"> </w:t>
      </w:r>
      <w:r w:rsidRPr="009C0AEB">
        <w:rPr>
          <w:rFonts w:ascii="Century" w:hAnsi="Century" w:cs="Miriam" w:hint="eastAsia"/>
          <w:b/>
          <w:spacing w:val="0"/>
          <w:szCs w:val="24"/>
          <w:rtl/>
        </w:rPr>
        <w:t>המידע</w:t>
      </w:r>
      <w:r w:rsidRPr="009C0AEB">
        <w:rPr>
          <w:rFonts w:ascii="Century" w:hAnsi="Century" w:cs="Miriam"/>
          <w:b/>
          <w:spacing w:val="0"/>
          <w:szCs w:val="24"/>
          <w:rtl/>
        </w:rPr>
        <w:t xml:space="preserve">; </w:t>
      </w:r>
      <w:r w:rsidRPr="009C0AEB">
        <w:rPr>
          <w:rFonts w:ascii="Century" w:hAnsi="Century" w:cs="Miriam" w:hint="eastAsia"/>
          <w:b/>
          <w:spacing w:val="0"/>
          <w:szCs w:val="24"/>
          <w:rtl/>
        </w:rPr>
        <w:t>תוחלת</w:t>
      </w:r>
      <w:r w:rsidRPr="009C0AEB">
        <w:rPr>
          <w:rFonts w:ascii="Century" w:hAnsi="Century" w:cs="Miriam"/>
          <w:b/>
          <w:spacing w:val="0"/>
          <w:szCs w:val="24"/>
          <w:rtl/>
        </w:rPr>
        <w:t xml:space="preserve"> </w:t>
      </w:r>
      <w:r w:rsidRPr="009C0AEB">
        <w:rPr>
          <w:rFonts w:ascii="Century" w:hAnsi="Century" w:cs="Miriam" w:hint="eastAsia"/>
          <w:b/>
          <w:spacing w:val="0"/>
          <w:szCs w:val="24"/>
          <w:rtl/>
        </w:rPr>
        <w:t>החקירה</w:t>
      </w:r>
      <w:r w:rsidRPr="009C0AEB">
        <w:rPr>
          <w:rFonts w:ascii="Century" w:hAnsi="Century" w:cs="Miriam"/>
          <w:b/>
          <w:spacing w:val="0"/>
          <w:szCs w:val="24"/>
          <w:rtl/>
        </w:rPr>
        <w:t xml:space="preserve"> </w:t>
      </w:r>
      <w:r w:rsidRPr="009C0AEB">
        <w:rPr>
          <w:rFonts w:ascii="Century" w:hAnsi="Century" w:cs="Miriam" w:hint="eastAsia"/>
          <w:b/>
          <w:spacing w:val="0"/>
          <w:szCs w:val="24"/>
          <w:rtl/>
        </w:rPr>
        <w:t>ומורכבותה</w:t>
      </w:r>
      <w:r w:rsidRPr="009C0AEB">
        <w:rPr>
          <w:rFonts w:ascii="Century" w:hAnsi="Century" w:cs="Miriam"/>
          <w:b/>
          <w:spacing w:val="0"/>
          <w:szCs w:val="24"/>
          <w:rtl/>
        </w:rPr>
        <w:t xml:space="preserve">, </w:t>
      </w:r>
      <w:r w:rsidRPr="009C0AEB">
        <w:rPr>
          <w:rFonts w:ascii="Century" w:hAnsi="Century" w:cs="Miriam" w:hint="eastAsia"/>
          <w:b/>
          <w:spacing w:val="0"/>
          <w:szCs w:val="24"/>
          <w:rtl/>
        </w:rPr>
        <w:t>בזיקה</w:t>
      </w:r>
      <w:r w:rsidRPr="009C0AEB">
        <w:rPr>
          <w:rFonts w:ascii="Century" w:hAnsi="Century" w:cs="Miriam"/>
          <w:b/>
          <w:spacing w:val="0"/>
          <w:szCs w:val="24"/>
          <w:rtl/>
        </w:rPr>
        <w:t xml:space="preserve"> </w:t>
      </w:r>
      <w:r w:rsidRPr="009C0AEB">
        <w:rPr>
          <w:rFonts w:ascii="Century" w:hAnsi="Century" w:cs="Miriam" w:hint="eastAsia"/>
          <w:b/>
          <w:spacing w:val="0"/>
          <w:szCs w:val="24"/>
          <w:rtl/>
        </w:rPr>
        <w:t>לכך</w:t>
      </w:r>
      <w:r w:rsidRPr="009C0AEB">
        <w:rPr>
          <w:rFonts w:ascii="Century" w:hAnsi="Century" w:cs="Miriam"/>
          <w:b/>
          <w:spacing w:val="0"/>
          <w:szCs w:val="24"/>
          <w:rtl/>
        </w:rPr>
        <w:t xml:space="preserve">, </w:t>
      </w:r>
      <w:r w:rsidRPr="009C0AEB">
        <w:rPr>
          <w:rFonts w:ascii="Century" w:hAnsi="Century" w:cs="Miriam" w:hint="eastAsia"/>
          <w:b/>
          <w:spacing w:val="0"/>
          <w:szCs w:val="24"/>
          <w:rtl/>
        </w:rPr>
        <w:t>הפגיעה</w:t>
      </w:r>
      <w:r w:rsidRPr="009C0AEB">
        <w:rPr>
          <w:rFonts w:ascii="Century" w:hAnsi="Century" w:cs="Miriam"/>
          <w:b/>
          <w:spacing w:val="0"/>
          <w:szCs w:val="24"/>
          <w:rtl/>
        </w:rPr>
        <w:t xml:space="preserve"> </w:t>
      </w:r>
      <w:r w:rsidRPr="009C0AEB">
        <w:rPr>
          <w:rFonts w:ascii="Century" w:hAnsi="Century" w:cs="Miriam" w:hint="eastAsia"/>
          <w:b/>
          <w:spacing w:val="0"/>
          <w:szCs w:val="24"/>
          <w:rtl/>
        </w:rPr>
        <w:t>העלולה</w:t>
      </w:r>
      <w:r w:rsidRPr="009C0AEB">
        <w:rPr>
          <w:rFonts w:ascii="Century" w:hAnsi="Century" w:cs="Miriam"/>
          <w:b/>
          <w:spacing w:val="0"/>
          <w:szCs w:val="24"/>
          <w:rtl/>
        </w:rPr>
        <w:t xml:space="preserve"> </w:t>
      </w:r>
      <w:r w:rsidRPr="009C0AEB">
        <w:rPr>
          <w:rFonts w:ascii="Century" w:hAnsi="Century" w:cs="Miriam" w:hint="eastAsia"/>
          <w:b/>
          <w:spacing w:val="0"/>
          <w:szCs w:val="24"/>
          <w:rtl/>
        </w:rPr>
        <w:t>להיגרם</w:t>
      </w:r>
      <w:r w:rsidRPr="009C0AEB">
        <w:rPr>
          <w:rFonts w:ascii="Century" w:hAnsi="Century" w:cs="Miriam"/>
          <w:b/>
          <w:spacing w:val="0"/>
          <w:szCs w:val="24"/>
          <w:rtl/>
        </w:rPr>
        <w:t xml:space="preserve"> </w:t>
      </w:r>
      <w:r w:rsidRPr="009C0AEB">
        <w:rPr>
          <w:rFonts w:ascii="Century" w:hAnsi="Century" w:cs="Miriam" w:hint="eastAsia"/>
          <w:b/>
          <w:spacing w:val="0"/>
          <w:szCs w:val="24"/>
          <w:rtl/>
        </w:rPr>
        <w:t>לנחקרים</w:t>
      </w:r>
      <w:r w:rsidRPr="009C0AEB">
        <w:rPr>
          <w:rFonts w:ascii="Century" w:hAnsi="Century" w:cs="Miriam"/>
          <w:b/>
          <w:spacing w:val="0"/>
          <w:szCs w:val="24"/>
          <w:rtl/>
        </w:rPr>
        <w:t xml:space="preserve"> </w:t>
      </w:r>
      <w:r w:rsidRPr="009C0AEB">
        <w:rPr>
          <w:rFonts w:ascii="Century" w:hAnsi="Century" w:cs="Miriam" w:hint="eastAsia"/>
          <w:b/>
          <w:spacing w:val="0"/>
          <w:szCs w:val="24"/>
          <w:rtl/>
        </w:rPr>
        <w:t>פוטנציאליים</w:t>
      </w:r>
      <w:r w:rsidRPr="009C0AEB">
        <w:rPr>
          <w:rFonts w:ascii="Century" w:hAnsi="Century" w:cs="Miriam"/>
          <w:b/>
          <w:spacing w:val="0"/>
          <w:szCs w:val="24"/>
          <w:rtl/>
        </w:rPr>
        <w:t xml:space="preserve">, </w:t>
      </w:r>
      <w:r w:rsidRPr="009C0AEB">
        <w:rPr>
          <w:rFonts w:ascii="Century" w:hAnsi="Century" w:cs="Miriam" w:hint="eastAsia"/>
          <w:b/>
          <w:spacing w:val="0"/>
          <w:szCs w:val="24"/>
          <w:rtl/>
        </w:rPr>
        <w:t>ובפרט</w:t>
      </w:r>
      <w:r w:rsidRPr="009C0AEB">
        <w:rPr>
          <w:rFonts w:ascii="Century" w:hAnsi="Century" w:cs="Miriam"/>
          <w:b/>
          <w:spacing w:val="0"/>
          <w:szCs w:val="24"/>
          <w:rtl/>
        </w:rPr>
        <w:t xml:space="preserve"> </w:t>
      </w:r>
      <w:r w:rsidRPr="009C0AEB">
        <w:rPr>
          <w:rFonts w:ascii="Century" w:hAnsi="Century" w:cs="Miriam" w:hint="eastAsia"/>
          <w:b/>
          <w:spacing w:val="0"/>
          <w:szCs w:val="24"/>
          <w:rtl/>
        </w:rPr>
        <w:t>ככל</w:t>
      </w:r>
      <w:r w:rsidRPr="009C0AEB">
        <w:rPr>
          <w:rFonts w:ascii="Century" w:hAnsi="Century" w:cs="Miriam"/>
          <w:b/>
          <w:spacing w:val="0"/>
          <w:szCs w:val="24"/>
          <w:rtl/>
        </w:rPr>
        <w:t xml:space="preserve"> </w:t>
      </w:r>
      <w:r w:rsidRPr="009C0AEB">
        <w:rPr>
          <w:rFonts w:ascii="Century" w:hAnsi="Century" w:cs="Miriam" w:hint="eastAsia"/>
          <w:b/>
          <w:spacing w:val="0"/>
          <w:szCs w:val="24"/>
          <w:rtl/>
        </w:rPr>
        <w:t>שמספרם</w:t>
      </w:r>
      <w:r w:rsidRPr="009C0AEB">
        <w:rPr>
          <w:rFonts w:ascii="Century" w:hAnsi="Century" w:cs="Miriam"/>
          <w:b/>
          <w:spacing w:val="0"/>
          <w:szCs w:val="24"/>
          <w:rtl/>
        </w:rPr>
        <w:t xml:space="preserve"> </w:t>
      </w:r>
      <w:r w:rsidRPr="009C0AEB">
        <w:rPr>
          <w:rFonts w:ascii="Century" w:hAnsi="Century" w:cs="Miriam" w:hint="eastAsia"/>
          <w:b/>
          <w:spacing w:val="0"/>
          <w:szCs w:val="24"/>
          <w:rtl/>
        </w:rPr>
        <w:t>גבוה</w:t>
      </w:r>
      <w:r w:rsidRPr="009C0AEB">
        <w:rPr>
          <w:rFonts w:ascii="Century" w:hAnsi="Century" w:cs="Miriam"/>
          <w:b/>
          <w:spacing w:val="0"/>
          <w:szCs w:val="24"/>
          <w:rtl/>
        </w:rPr>
        <w:t xml:space="preserve"> </w:t>
      </w:r>
      <w:r w:rsidRPr="009C0AEB">
        <w:rPr>
          <w:rFonts w:ascii="Century" w:hAnsi="Century" w:cs="Miriam" w:hint="eastAsia"/>
          <w:b/>
          <w:spacing w:val="0"/>
          <w:szCs w:val="24"/>
          <w:rtl/>
        </w:rPr>
        <w:t>יותר</w:t>
      </w:r>
      <w:r w:rsidRPr="009C0AEB">
        <w:rPr>
          <w:rFonts w:ascii="Century" w:hAnsi="Century" w:cs="Miriam"/>
          <w:b/>
          <w:spacing w:val="0"/>
          <w:szCs w:val="24"/>
          <w:rtl/>
        </w:rPr>
        <w:t xml:space="preserve">; </w:t>
      </w:r>
      <w:r w:rsidRPr="009C0AEB">
        <w:rPr>
          <w:rFonts w:ascii="Century" w:hAnsi="Century" w:cs="Miriam" w:hint="eastAsia"/>
          <w:b/>
          <w:spacing w:val="0"/>
          <w:szCs w:val="24"/>
          <w:rtl/>
        </w:rPr>
        <w:t>סוגיית</w:t>
      </w:r>
      <w:r w:rsidRPr="009C0AEB">
        <w:rPr>
          <w:rFonts w:ascii="Century" w:hAnsi="Century" w:cs="Miriam"/>
          <w:b/>
          <w:spacing w:val="0"/>
          <w:szCs w:val="24"/>
          <w:rtl/>
        </w:rPr>
        <w:t xml:space="preserve"> </w:t>
      </w:r>
      <w:r w:rsidRPr="009C0AEB">
        <w:rPr>
          <w:rFonts w:ascii="Century" w:hAnsi="Century" w:cs="Miriam" w:hint="eastAsia"/>
          <w:b/>
          <w:spacing w:val="0"/>
          <w:szCs w:val="24"/>
          <w:rtl/>
        </w:rPr>
        <w:t>חופש</w:t>
      </w:r>
      <w:r w:rsidRPr="009C0AEB">
        <w:rPr>
          <w:rFonts w:ascii="Century" w:hAnsi="Century" w:cs="Miriam"/>
          <w:b/>
          <w:spacing w:val="0"/>
          <w:szCs w:val="24"/>
          <w:rtl/>
        </w:rPr>
        <w:t xml:space="preserve"> </w:t>
      </w:r>
      <w:r w:rsidRPr="009C0AEB">
        <w:rPr>
          <w:rFonts w:ascii="Century" w:hAnsi="Century" w:cs="Miriam" w:hint="eastAsia"/>
          <w:b/>
          <w:spacing w:val="0"/>
          <w:szCs w:val="24"/>
          <w:rtl/>
        </w:rPr>
        <w:t>העיתונות</w:t>
      </w:r>
      <w:r w:rsidRPr="009C0AEB">
        <w:rPr>
          <w:rFonts w:ascii="Century" w:hAnsi="Century" w:cs="Miriam"/>
          <w:b/>
          <w:spacing w:val="0"/>
          <w:szCs w:val="24"/>
          <w:rtl/>
        </w:rPr>
        <w:t xml:space="preserve"> </w:t>
      </w:r>
      <w:r w:rsidRPr="009C0AEB">
        <w:rPr>
          <w:rFonts w:ascii="Century" w:hAnsi="Century" w:cs="Miriam" w:hint="eastAsia"/>
          <w:b/>
          <w:spacing w:val="0"/>
          <w:szCs w:val="24"/>
          <w:rtl/>
        </w:rPr>
        <w:t>והחיסיון</w:t>
      </w:r>
      <w:r w:rsidRPr="009C0AEB">
        <w:rPr>
          <w:rFonts w:ascii="Century" w:hAnsi="Century" w:cs="Miriam"/>
          <w:b/>
          <w:spacing w:val="0"/>
          <w:szCs w:val="24"/>
          <w:rtl/>
        </w:rPr>
        <w:t xml:space="preserve"> </w:t>
      </w:r>
      <w:r w:rsidRPr="009C0AEB">
        <w:rPr>
          <w:rFonts w:ascii="Century" w:hAnsi="Century" w:cs="Miriam" w:hint="eastAsia"/>
          <w:b/>
          <w:spacing w:val="0"/>
          <w:szCs w:val="24"/>
          <w:rtl/>
        </w:rPr>
        <w:t>העיתונאי</w:t>
      </w:r>
      <w:r>
        <w:rPr>
          <w:rFonts w:ascii="Century" w:hAnsi="Century" w:hint="cs"/>
          <w:rtl/>
        </w:rPr>
        <w:t>" (שם).</w:t>
      </w:r>
      <w:r w:rsidRPr="009C0AEB">
        <w:rPr>
          <w:rFonts w:hint="cs"/>
          <w:rtl/>
        </w:rPr>
        <w:t xml:space="preserve"> </w:t>
      </w:r>
      <w:r w:rsidRPr="002B5D3C">
        <w:rPr>
          <w:rFonts w:hint="cs"/>
          <w:rtl/>
        </w:rPr>
        <w:t xml:space="preserve">לאחר מכן, פנתה </w:t>
      </w:r>
      <w:r>
        <w:rPr>
          <w:rFonts w:hint="cs"/>
          <w:rtl/>
        </w:rPr>
        <w:t>היועצת</w:t>
      </w:r>
      <w:r w:rsidRPr="002B5D3C">
        <w:rPr>
          <w:rFonts w:hint="cs"/>
          <w:rtl/>
        </w:rPr>
        <w:t xml:space="preserve"> ליישום אמות המידה האמורות, השזורות בפסיקת בית משפט זה, על נסיבות העניין, כ</w:t>
      </w:r>
      <w:r>
        <w:rPr>
          <w:rFonts w:hint="cs"/>
          <w:rtl/>
        </w:rPr>
        <w:t>ד</w:t>
      </w:r>
      <w:r w:rsidRPr="002B5D3C">
        <w:rPr>
          <w:rFonts w:hint="cs"/>
          <w:rtl/>
        </w:rPr>
        <w:t>ל</w:t>
      </w:r>
      <w:r>
        <w:rPr>
          <w:rFonts w:hint="cs"/>
          <w:rtl/>
        </w:rPr>
        <w:t>ה</w:t>
      </w:r>
      <w:r w:rsidRPr="002B5D3C">
        <w:rPr>
          <w:rFonts w:hint="cs"/>
          <w:rtl/>
        </w:rPr>
        <w:t>לן.</w:t>
      </w:r>
    </w:p>
    <w:p w:rsidR="00DB6151" w:rsidRPr="002B5D3C" w:rsidRDefault="00DB6151" w:rsidP="00DB6151">
      <w:pPr>
        <w:pStyle w:val="Ruller41"/>
        <w:numPr>
          <w:ilvl w:val="0"/>
          <w:numId w:val="13"/>
        </w:numPr>
        <w:overflowPunct/>
        <w:autoSpaceDE/>
        <w:autoSpaceDN/>
        <w:adjustRightInd/>
        <w:spacing w:before="240" w:after="240"/>
        <w:ind w:left="0" w:firstLine="0"/>
        <w:textAlignment w:val="auto"/>
        <w:rPr>
          <w:rtl/>
        </w:rPr>
      </w:pPr>
      <w:r w:rsidRPr="002B5D3C">
        <w:rPr>
          <w:rFonts w:hint="cs"/>
          <w:rtl/>
        </w:rPr>
        <w:t xml:space="preserve">ראשית הוטעם, כי בנדון </w:t>
      </w:r>
      <w:proofErr w:type="spellStart"/>
      <w:r w:rsidRPr="002B5D3C">
        <w:rPr>
          <w:rFonts w:hint="cs"/>
          <w:rtl/>
        </w:rPr>
        <w:t>דידן</w:t>
      </w:r>
      <w:proofErr w:type="spellEnd"/>
      <w:r w:rsidRPr="002B5D3C">
        <w:rPr>
          <w:rFonts w:hint="cs"/>
          <w:rtl/>
        </w:rPr>
        <w:t xml:space="preserve"> "</w:t>
      </w:r>
      <w:r w:rsidRPr="00C90C20">
        <w:rPr>
          <w:rFonts w:ascii="Century" w:hAnsi="Century" w:cs="Miriam" w:hint="eastAsia"/>
          <w:b/>
          <w:spacing w:val="0"/>
          <w:szCs w:val="24"/>
          <w:rtl/>
        </w:rPr>
        <w:t>אין</w:t>
      </w:r>
      <w:r w:rsidRPr="00C90C20">
        <w:rPr>
          <w:rFonts w:ascii="Century" w:hAnsi="Century" w:cs="Miriam"/>
          <w:b/>
          <w:spacing w:val="0"/>
          <w:szCs w:val="24"/>
          <w:rtl/>
        </w:rPr>
        <w:t xml:space="preserve"> מדובר בפרסום דבר המוגדר כידיעה </w:t>
      </w:r>
      <w:r w:rsidRPr="00C90C20">
        <w:rPr>
          <w:rFonts w:ascii="Century" w:hAnsi="Century" w:cs="Miriam" w:hint="eastAsia"/>
          <w:b/>
          <w:spacing w:val="0"/>
          <w:szCs w:val="24"/>
          <w:rtl/>
        </w:rPr>
        <w:t>סודית</w:t>
      </w:r>
      <w:r w:rsidRPr="00C90C20">
        <w:rPr>
          <w:rFonts w:ascii="Century" w:hAnsi="Century" w:cs="Miriam"/>
          <w:b/>
          <w:spacing w:val="0"/>
          <w:szCs w:val="24"/>
          <w:rtl/>
        </w:rPr>
        <w:t xml:space="preserve">, </w:t>
      </w:r>
      <w:r w:rsidRPr="00C90C20">
        <w:rPr>
          <w:rFonts w:ascii="Century" w:hAnsi="Century" w:cs="Miriam" w:hint="eastAsia"/>
          <w:b/>
          <w:spacing w:val="0"/>
          <w:szCs w:val="24"/>
          <w:rtl/>
        </w:rPr>
        <w:t>או</w:t>
      </w:r>
      <w:r w:rsidRPr="00C90C20">
        <w:rPr>
          <w:rFonts w:ascii="Century" w:hAnsi="Century" w:cs="Miriam"/>
          <w:b/>
          <w:spacing w:val="0"/>
          <w:szCs w:val="24"/>
          <w:rtl/>
        </w:rPr>
        <w:t xml:space="preserve"> </w:t>
      </w:r>
      <w:r w:rsidRPr="00C90C20">
        <w:rPr>
          <w:rFonts w:ascii="Century" w:hAnsi="Century" w:cs="Miriam" w:hint="eastAsia"/>
          <w:b/>
          <w:spacing w:val="0"/>
          <w:szCs w:val="24"/>
          <w:rtl/>
        </w:rPr>
        <w:t>בפרסום</w:t>
      </w:r>
      <w:r w:rsidRPr="00C90C20">
        <w:rPr>
          <w:rFonts w:ascii="Century" w:hAnsi="Century" w:cs="Miriam"/>
          <w:b/>
          <w:spacing w:val="0"/>
          <w:szCs w:val="24"/>
          <w:rtl/>
        </w:rPr>
        <w:t xml:space="preserve"> </w:t>
      </w:r>
      <w:r w:rsidRPr="00C90C20">
        <w:rPr>
          <w:rFonts w:ascii="Century" w:hAnsi="Century" w:cs="Miriam" w:hint="eastAsia"/>
          <w:b/>
          <w:spacing w:val="0"/>
          <w:szCs w:val="24"/>
          <w:rtl/>
        </w:rPr>
        <w:t>מידע</w:t>
      </w:r>
      <w:r w:rsidRPr="00C90C20">
        <w:rPr>
          <w:rFonts w:ascii="Century" w:hAnsi="Century" w:cs="Miriam"/>
          <w:b/>
          <w:spacing w:val="0"/>
          <w:szCs w:val="24"/>
          <w:rtl/>
        </w:rPr>
        <w:t xml:space="preserve"> </w:t>
      </w:r>
      <w:r w:rsidRPr="00C90C20">
        <w:rPr>
          <w:rFonts w:ascii="Century" w:hAnsi="Century" w:cs="Miriam" w:hint="eastAsia"/>
          <w:b/>
          <w:spacing w:val="0"/>
          <w:szCs w:val="24"/>
          <w:rtl/>
        </w:rPr>
        <w:t>ביטחוני</w:t>
      </w:r>
      <w:r w:rsidRPr="002B5D3C">
        <w:rPr>
          <w:rFonts w:hint="cs"/>
          <w:rtl/>
        </w:rPr>
        <w:t>"</w:t>
      </w:r>
      <w:r>
        <w:rPr>
          <w:rFonts w:hint="cs"/>
          <w:rtl/>
        </w:rPr>
        <w:t>. בהקשר זה</w:t>
      </w:r>
      <w:r w:rsidRPr="002B5D3C">
        <w:rPr>
          <w:rFonts w:hint="cs"/>
          <w:rtl/>
        </w:rPr>
        <w:t xml:space="preserve"> הובהר</w:t>
      </w:r>
      <w:r>
        <w:rPr>
          <w:rFonts w:hint="cs"/>
          <w:rtl/>
        </w:rPr>
        <w:t>,</w:t>
      </w:r>
      <w:r w:rsidRPr="002B5D3C">
        <w:rPr>
          <w:rFonts w:hint="cs"/>
          <w:rtl/>
        </w:rPr>
        <w:t xml:space="preserve"> כי "</w:t>
      </w:r>
      <w:r w:rsidRPr="00C90C20">
        <w:rPr>
          <w:rFonts w:ascii="Century" w:hAnsi="Century" w:cs="Miriam" w:hint="eastAsia"/>
          <w:b/>
          <w:spacing w:val="0"/>
          <w:szCs w:val="24"/>
          <w:rtl/>
        </w:rPr>
        <w:t>אין</w:t>
      </w:r>
      <w:r w:rsidRPr="00C90C20">
        <w:rPr>
          <w:rFonts w:ascii="Century" w:hAnsi="Century" w:cs="Miriam"/>
          <w:b/>
          <w:spacing w:val="0"/>
          <w:szCs w:val="24"/>
          <w:rtl/>
        </w:rPr>
        <w:t xml:space="preserve"> </w:t>
      </w:r>
      <w:r w:rsidRPr="00C90C20">
        <w:rPr>
          <w:rFonts w:ascii="Century" w:hAnsi="Century" w:cs="Miriam" w:hint="eastAsia"/>
          <w:b/>
          <w:spacing w:val="0"/>
          <w:szCs w:val="24"/>
          <w:rtl/>
        </w:rPr>
        <w:t>להקל</w:t>
      </w:r>
      <w:r w:rsidRPr="00C90C20">
        <w:rPr>
          <w:rFonts w:ascii="Century" w:hAnsi="Century" w:cs="Miriam"/>
          <w:b/>
          <w:spacing w:val="0"/>
          <w:szCs w:val="24"/>
          <w:rtl/>
        </w:rPr>
        <w:t xml:space="preserve"> </w:t>
      </w:r>
      <w:r w:rsidRPr="00C90C20">
        <w:rPr>
          <w:rFonts w:ascii="Century" w:hAnsi="Century" w:cs="Miriam" w:hint="eastAsia"/>
          <w:b/>
          <w:spacing w:val="0"/>
          <w:szCs w:val="24"/>
          <w:rtl/>
        </w:rPr>
        <w:t>ראש</w:t>
      </w:r>
      <w:r w:rsidRPr="00C90C20">
        <w:rPr>
          <w:rFonts w:ascii="Century" w:hAnsi="Century" w:cs="Miriam"/>
          <w:b/>
          <w:spacing w:val="0"/>
          <w:szCs w:val="24"/>
          <w:rtl/>
        </w:rPr>
        <w:t xml:space="preserve"> </w:t>
      </w:r>
      <w:r w:rsidRPr="00C90C20">
        <w:rPr>
          <w:rFonts w:ascii="Century" w:hAnsi="Century" w:cs="Miriam" w:hint="eastAsia"/>
          <w:b/>
          <w:spacing w:val="0"/>
          <w:szCs w:val="24"/>
          <w:rtl/>
        </w:rPr>
        <w:t>בפרסום</w:t>
      </w:r>
      <w:r w:rsidRPr="00C90C20">
        <w:rPr>
          <w:rFonts w:ascii="Century" w:hAnsi="Century" w:cs="Miriam"/>
          <w:b/>
          <w:spacing w:val="0"/>
          <w:szCs w:val="24"/>
          <w:rtl/>
        </w:rPr>
        <w:t xml:space="preserve"> </w:t>
      </w:r>
      <w:r w:rsidRPr="00C90C20">
        <w:rPr>
          <w:rFonts w:ascii="Century" w:hAnsi="Century" w:cs="Miriam" w:hint="eastAsia"/>
          <w:b/>
          <w:spacing w:val="0"/>
          <w:szCs w:val="24"/>
          <w:rtl/>
        </w:rPr>
        <w:t>מידע</w:t>
      </w:r>
      <w:r w:rsidRPr="00C90C20">
        <w:rPr>
          <w:rFonts w:ascii="Century" w:hAnsi="Century" w:cs="Miriam"/>
          <w:b/>
          <w:spacing w:val="0"/>
          <w:szCs w:val="24"/>
          <w:rtl/>
        </w:rPr>
        <w:t xml:space="preserve"> </w:t>
      </w:r>
      <w:r w:rsidRPr="00C90C20">
        <w:rPr>
          <w:rFonts w:ascii="Century" w:hAnsi="Century" w:cs="Miriam" w:hint="eastAsia"/>
          <w:b/>
          <w:spacing w:val="0"/>
          <w:szCs w:val="24"/>
          <w:rtl/>
        </w:rPr>
        <w:t>פעולה</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רשויות</w:t>
      </w:r>
      <w:r w:rsidRPr="00C90C20">
        <w:rPr>
          <w:rFonts w:ascii="Century" w:hAnsi="Century" w:cs="Miriam"/>
          <w:b/>
          <w:spacing w:val="0"/>
          <w:szCs w:val="24"/>
          <w:rtl/>
        </w:rPr>
        <w:t xml:space="preserve"> </w:t>
      </w:r>
      <w:r w:rsidRPr="00C90C20">
        <w:rPr>
          <w:rFonts w:ascii="Century" w:hAnsi="Century" w:cs="Miriam" w:hint="eastAsia"/>
          <w:b/>
          <w:spacing w:val="0"/>
          <w:szCs w:val="24"/>
          <w:rtl/>
        </w:rPr>
        <w:t>האכיפה</w:t>
      </w:r>
      <w:r w:rsidRPr="00C90C20">
        <w:rPr>
          <w:rFonts w:ascii="Century" w:hAnsi="Century" w:cs="Miriam"/>
          <w:b/>
          <w:spacing w:val="0"/>
          <w:szCs w:val="24"/>
          <w:rtl/>
        </w:rPr>
        <w:t xml:space="preserve">. [שכן] </w:t>
      </w:r>
      <w:r w:rsidRPr="00C90C20">
        <w:rPr>
          <w:rFonts w:ascii="Century" w:hAnsi="Century" w:cs="Miriam" w:hint="eastAsia"/>
          <w:b/>
          <w:spacing w:val="0"/>
          <w:szCs w:val="24"/>
          <w:rtl/>
        </w:rPr>
        <w:t>בנסיבות</w:t>
      </w:r>
      <w:r w:rsidRPr="00C90C20">
        <w:rPr>
          <w:rFonts w:ascii="Century" w:hAnsi="Century" w:cs="Miriam"/>
          <w:b/>
          <w:spacing w:val="0"/>
          <w:szCs w:val="24"/>
          <w:rtl/>
        </w:rPr>
        <w:t xml:space="preserve"> </w:t>
      </w:r>
      <w:r w:rsidRPr="00C90C20">
        <w:rPr>
          <w:rFonts w:ascii="Century" w:hAnsi="Century" w:cs="Miriam" w:hint="eastAsia"/>
          <w:b/>
          <w:spacing w:val="0"/>
          <w:szCs w:val="24"/>
          <w:rtl/>
        </w:rPr>
        <w:t>מסוימות</w:t>
      </w:r>
      <w:r w:rsidRPr="00C90C20">
        <w:rPr>
          <w:rFonts w:ascii="Century" w:hAnsi="Century" w:cs="Miriam"/>
          <w:b/>
          <w:spacing w:val="0"/>
          <w:szCs w:val="24"/>
          <w:rtl/>
        </w:rPr>
        <w:t xml:space="preserve">, </w:t>
      </w:r>
      <w:r w:rsidRPr="00C90C20">
        <w:rPr>
          <w:rFonts w:ascii="Century" w:hAnsi="Century" w:cs="Miriam" w:hint="eastAsia"/>
          <w:b/>
          <w:spacing w:val="0"/>
          <w:szCs w:val="24"/>
          <w:rtl/>
        </w:rPr>
        <w:t>בהחלט</w:t>
      </w:r>
      <w:r w:rsidRPr="00C90C20">
        <w:rPr>
          <w:rFonts w:ascii="Century" w:hAnsi="Century" w:cs="Miriam"/>
          <w:b/>
          <w:spacing w:val="0"/>
          <w:szCs w:val="24"/>
          <w:rtl/>
        </w:rPr>
        <w:t xml:space="preserve"> </w:t>
      </w:r>
      <w:r w:rsidRPr="00C90C20">
        <w:rPr>
          <w:rFonts w:ascii="Century" w:hAnsi="Century" w:cs="Miriam" w:hint="eastAsia"/>
          <w:b/>
          <w:spacing w:val="0"/>
          <w:szCs w:val="24"/>
          <w:rtl/>
        </w:rPr>
        <w:t>קיים</w:t>
      </w:r>
      <w:r w:rsidRPr="00C90C20">
        <w:rPr>
          <w:rFonts w:ascii="Century" w:hAnsi="Century" w:cs="Miriam"/>
          <w:b/>
          <w:spacing w:val="0"/>
          <w:szCs w:val="24"/>
          <w:rtl/>
        </w:rPr>
        <w:t xml:space="preserve"> </w:t>
      </w:r>
      <w:r w:rsidRPr="00C90C20">
        <w:rPr>
          <w:rFonts w:ascii="Century" w:hAnsi="Century" w:cs="Miriam" w:hint="eastAsia"/>
          <w:b/>
          <w:spacing w:val="0"/>
          <w:szCs w:val="24"/>
          <w:rtl/>
        </w:rPr>
        <w:t>פוטנציאל</w:t>
      </w:r>
      <w:r w:rsidRPr="00C90C20">
        <w:rPr>
          <w:rFonts w:ascii="Century" w:hAnsi="Century" w:cs="Miriam"/>
          <w:b/>
          <w:spacing w:val="0"/>
          <w:szCs w:val="24"/>
          <w:rtl/>
        </w:rPr>
        <w:t xml:space="preserve"> </w:t>
      </w:r>
      <w:r w:rsidRPr="00C90C20">
        <w:rPr>
          <w:rFonts w:ascii="Century" w:hAnsi="Century" w:cs="Miriam" w:hint="eastAsia"/>
          <w:b/>
          <w:spacing w:val="0"/>
          <w:szCs w:val="24"/>
          <w:rtl/>
        </w:rPr>
        <w:t>שחשיפתו</w:t>
      </w:r>
      <w:r w:rsidRPr="00C90C20">
        <w:rPr>
          <w:rFonts w:ascii="Century" w:hAnsi="Century" w:cs="Miriam"/>
          <w:b/>
          <w:spacing w:val="0"/>
          <w:szCs w:val="24"/>
          <w:rtl/>
        </w:rPr>
        <w:t xml:space="preserve"> </w:t>
      </w:r>
      <w:r w:rsidRPr="00C90C20">
        <w:rPr>
          <w:rFonts w:ascii="Century" w:hAnsi="Century" w:cs="Miriam" w:hint="eastAsia"/>
          <w:b/>
          <w:spacing w:val="0"/>
          <w:szCs w:val="24"/>
          <w:rtl/>
        </w:rPr>
        <w:t>תפגע</w:t>
      </w:r>
      <w:r w:rsidRPr="00C90C20">
        <w:rPr>
          <w:rFonts w:ascii="Century" w:hAnsi="Century" w:cs="Miriam"/>
          <w:b/>
          <w:spacing w:val="0"/>
          <w:szCs w:val="24"/>
          <w:rtl/>
        </w:rPr>
        <w:t xml:space="preserve"> </w:t>
      </w:r>
      <w:r w:rsidRPr="00C90C20">
        <w:rPr>
          <w:rFonts w:ascii="Century" w:hAnsi="Century" w:cs="Miriam" w:hint="eastAsia"/>
          <w:b/>
          <w:spacing w:val="0"/>
          <w:szCs w:val="24"/>
          <w:rtl/>
        </w:rPr>
        <w:t>באינטרסים</w:t>
      </w:r>
      <w:r w:rsidRPr="00C90C20">
        <w:rPr>
          <w:rFonts w:ascii="Century" w:hAnsi="Century" w:cs="Miriam"/>
          <w:b/>
          <w:spacing w:val="0"/>
          <w:szCs w:val="24"/>
          <w:rtl/>
        </w:rPr>
        <w:t xml:space="preserve"> </w:t>
      </w:r>
      <w:r w:rsidRPr="00C90C20">
        <w:rPr>
          <w:rFonts w:ascii="Century" w:hAnsi="Century" w:cs="Miriam" w:hint="eastAsia"/>
          <w:b/>
          <w:spacing w:val="0"/>
          <w:szCs w:val="24"/>
          <w:rtl/>
        </w:rPr>
        <w:t>ציבוריים</w:t>
      </w:r>
      <w:r w:rsidRPr="00C90C20">
        <w:rPr>
          <w:rFonts w:ascii="Century" w:hAnsi="Century" w:cs="Miriam"/>
          <w:b/>
          <w:spacing w:val="0"/>
          <w:szCs w:val="24"/>
          <w:rtl/>
        </w:rPr>
        <w:t xml:space="preserve">, </w:t>
      </w:r>
      <w:r>
        <w:rPr>
          <w:rFonts w:ascii="Century" w:hAnsi="Century" w:cs="Miriam" w:hint="cs"/>
          <w:b/>
          <w:spacing w:val="0"/>
          <w:szCs w:val="24"/>
          <w:rtl/>
        </w:rPr>
        <w:t>ב</w:t>
      </w:r>
      <w:r w:rsidRPr="00C90C20">
        <w:rPr>
          <w:rFonts w:ascii="Century" w:hAnsi="Century" w:cs="Miriam" w:hint="eastAsia"/>
          <w:b/>
          <w:spacing w:val="0"/>
          <w:szCs w:val="24"/>
          <w:rtl/>
        </w:rPr>
        <w:t>זכויות</w:t>
      </w:r>
      <w:r w:rsidRPr="00C90C20">
        <w:rPr>
          <w:rFonts w:ascii="Century" w:hAnsi="Century" w:cs="Miriam"/>
          <w:b/>
          <w:spacing w:val="0"/>
          <w:szCs w:val="24"/>
          <w:rtl/>
        </w:rPr>
        <w:t xml:space="preserve"> </w:t>
      </w:r>
      <w:r w:rsidRPr="00C90C20">
        <w:rPr>
          <w:rFonts w:ascii="Century" w:hAnsi="Century" w:cs="Miriam" w:hint="eastAsia"/>
          <w:b/>
          <w:spacing w:val="0"/>
          <w:szCs w:val="24"/>
          <w:rtl/>
        </w:rPr>
        <w:t>הפרט</w:t>
      </w:r>
      <w:r w:rsidRPr="00C90C20">
        <w:rPr>
          <w:rFonts w:ascii="Century" w:hAnsi="Century" w:cs="Miriam"/>
          <w:b/>
          <w:spacing w:val="0"/>
          <w:szCs w:val="24"/>
          <w:rtl/>
        </w:rPr>
        <w:t xml:space="preserve">, </w:t>
      </w:r>
      <w:r w:rsidRPr="00C90C20">
        <w:rPr>
          <w:rFonts w:ascii="Century" w:hAnsi="Century" w:cs="Miriam" w:hint="eastAsia"/>
          <w:b/>
          <w:spacing w:val="0"/>
          <w:szCs w:val="24"/>
          <w:rtl/>
        </w:rPr>
        <w:t>או</w:t>
      </w:r>
      <w:r w:rsidRPr="00C90C20">
        <w:rPr>
          <w:rFonts w:ascii="Century" w:hAnsi="Century" w:cs="Miriam"/>
          <w:b/>
          <w:spacing w:val="0"/>
          <w:szCs w:val="24"/>
          <w:rtl/>
        </w:rPr>
        <w:t xml:space="preserve"> </w:t>
      </w:r>
      <w:r w:rsidRPr="00C90C20">
        <w:rPr>
          <w:rFonts w:ascii="Century" w:hAnsi="Century" w:cs="Miriam" w:hint="eastAsia"/>
          <w:b/>
          <w:spacing w:val="0"/>
          <w:szCs w:val="24"/>
          <w:rtl/>
        </w:rPr>
        <w:t>בתקינות</w:t>
      </w:r>
      <w:r w:rsidRPr="00C90C20">
        <w:rPr>
          <w:rFonts w:ascii="Century" w:hAnsi="Century" w:cs="Miriam"/>
          <w:b/>
          <w:spacing w:val="0"/>
          <w:szCs w:val="24"/>
          <w:rtl/>
        </w:rPr>
        <w:t xml:space="preserve"> </w:t>
      </w:r>
      <w:r w:rsidRPr="00C90C20">
        <w:rPr>
          <w:rFonts w:ascii="Century" w:hAnsi="Century" w:cs="Miriam" w:hint="eastAsia"/>
          <w:b/>
          <w:spacing w:val="0"/>
          <w:szCs w:val="24"/>
          <w:rtl/>
        </w:rPr>
        <w:t>פעילות</w:t>
      </w:r>
      <w:r w:rsidRPr="00C90C20">
        <w:rPr>
          <w:rFonts w:ascii="Century" w:hAnsi="Century" w:cs="Miriam"/>
          <w:b/>
          <w:spacing w:val="0"/>
          <w:szCs w:val="24"/>
          <w:rtl/>
        </w:rPr>
        <w:t xml:space="preserve"> </w:t>
      </w:r>
      <w:r w:rsidRPr="00C90C20">
        <w:rPr>
          <w:rFonts w:ascii="Century" w:hAnsi="Century" w:cs="Miriam" w:hint="eastAsia"/>
          <w:b/>
          <w:spacing w:val="0"/>
          <w:szCs w:val="24"/>
          <w:rtl/>
        </w:rPr>
        <w:t>המנהל</w:t>
      </w:r>
      <w:r w:rsidRPr="00C90C20">
        <w:rPr>
          <w:rFonts w:ascii="Century" w:hAnsi="Century" w:cs="Miriam"/>
          <w:b/>
          <w:spacing w:val="0"/>
          <w:szCs w:val="24"/>
          <w:rtl/>
        </w:rPr>
        <w:t xml:space="preserve">, </w:t>
      </w:r>
      <w:r w:rsidRPr="00C90C20">
        <w:rPr>
          <w:rFonts w:ascii="Century" w:hAnsi="Century" w:cs="Miriam" w:hint="eastAsia"/>
          <w:b/>
          <w:spacing w:val="0"/>
          <w:szCs w:val="24"/>
          <w:rtl/>
        </w:rPr>
        <w:t>באופן</w:t>
      </w:r>
      <w:r w:rsidRPr="00C90C20">
        <w:rPr>
          <w:rFonts w:ascii="Century" w:hAnsi="Century" w:cs="Miriam"/>
          <w:b/>
          <w:spacing w:val="0"/>
          <w:szCs w:val="24"/>
          <w:rtl/>
        </w:rPr>
        <w:t xml:space="preserve"> </w:t>
      </w:r>
      <w:r w:rsidRPr="00C90C20">
        <w:rPr>
          <w:rFonts w:ascii="Century" w:hAnsi="Century" w:cs="Miriam" w:hint="eastAsia"/>
          <w:b/>
          <w:spacing w:val="0"/>
          <w:szCs w:val="24"/>
          <w:rtl/>
        </w:rPr>
        <w:t>המצדיק</w:t>
      </w:r>
      <w:r w:rsidRPr="00C90C20">
        <w:rPr>
          <w:rFonts w:ascii="Century" w:hAnsi="Century" w:cs="Miriam"/>
          <w:b/>
          <w:spacing w:val="0"/>
          <w:szCs w:val="24"/>
          <w:rtl/>
        </w:rPr>
        <w:t xml:space="preserve"> </w:t>
      </w:r>
      <w:r w:rsidRPr="00C90C20">
        <w:rPr>
          <w:rFonts w:ascii="Century" w:hAnsi="Century" w:cs="Miriam" w:hint="eastAsia"/>
          <w:b/>
          <w:spacing w:val="0"/>
          <w:szCs w:val="24"/>
          <w:rtl/>
        </w:rPr>
        <w:t>פתיחה</w:t>
      </w:r>
      <w:r w:rsidRPr="00C90C20">
        <w:rPr>
          <w:rFonts w:ascii="Century" w:hAnsi="Century" w:cs="Miriam"/>
          <w:b/>
          <w:spacing w:val="0"/>
          <w:szCs w:val="24"/>
          <w:rtl/>
        </w:rPr>
        <w:t xml:space="preserve"> </w:t>
      </w:r>
      <w:r w:rsidRPr="00C90C20">
        <w:rPr>
          <w:rFonts w:ascii="Century" w:hAnsi="Century" w:cs="Miriam" w:hint="eastAsia"/>
          <w:b/>
          <w:spacing w:val="0"/>
          <w:szCs w:val="24"/>
          <w:rtl/>
        </w:rPr>
        <w:t>בחקירה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sidRPr="002B5D3C">
        <w:rPr>
          <w:rFonts w:hint="cs"/>
          <w:rtl/>
        </w:rPr>
        <w:t xml:space="preserve">". </w:t>
      </w:r>
      <w:r>
        <w:rPr>
          <w:rFonts w:hint="cs"/>
          <w:rtl/>
        </w:rPr>
        <w:t>ברם</w:t>
      </w:r>
      <w:r w:rsidRPr="002B5D3C">
        <w:rPr>
          <w:rFonts w:hint="cs"/>
          <w:rtl/>
        </w:rPr>
        <w:t xml:space="preserve">, בנסיבות העניין הייחודיות, לסברת </w:t>
      </w:r>
      <w:r>
        <w:rPr>
          <w:rFonts w:hint="cs"/>
          <w:rtl/>
        </w:rPr>
        <w:t>היועצת</w:t>
      </w:r>
      <w:r w:rsidRPr="002B5D3C">
        <w:rPr>
          <w:rFonts w:hint="cs"/>
          <w:rtl/>
        </w:rPr>
        <w:t xml:space="preserve"> "</w:t>
      </w:r>
      <w:r w:rsidRPr="00C90C20">
        <w:rPr>
          <w:rFonts w:ascii="Century" w:hAnsi="Century" w:cs="Miriam" w:hint="eastAsia"/>
          <w:b/>
          <w:spacing w:val="0"/>
          <w:szCs w:val="24"/>
          <w:rtl/>
        </w:rPr>
        <w:t>לא</w:t>
      </w:r>
      <w:r w:rsidRPr="00C90C20">
        <w:rPr>
          <w:rFonts w:ascii="Century" w:hAnsi="Century" w:cs="Miriam"/>
          <w:b/>
          <w:spacing w:val="0"/>
          <w:szCs w:val="24"/>
          <w:rtl/>
        </w:rPr>
        <w:t xml:space="preserve"> </w:t>
      </w:r>
      <w:r w:rsidRPr="00C90C20">
        <w:rPr>
          <w:rFonts w:ascii="Century" w:hAnsi="Century" w:cs="Miriam" w:hint="eastAsia"/>
          <w:b/>
          <w:spacing w:val="0"/>
          <w:szCs w:val="24"/>
          <w:rtl/>
        </w:rPr>
        <w:t>נגרמה</w:t>
      </w:r>
      <w:r w:rsidRPr="00C90C20">
        <w:rPr>
          <w:rFonts w:ascii="Century" w:hAnsi="Century" w:cs="Miriam"/>
          <w:b/>
          <w:spacing w:val="0"/>
          <w:szCs w:val="24"/>
          <w:rtl/>
        </w:rPr>
        <w:t xml:space="preserve"> </w:t>
      </w:r>
      <w:r w:rsidRPr="00C90C20">
        <w:rPr>
          <w:rFonts w:ascii="Century" w:hAnsi="Century" w:cs="Miriam" w:hint="eastAsia"/>
          <w:b/>
          <w:spacing w:val="0"/>
          <w:szCs w:val="24"/>
          <w:rtl/>
        </w:rPr>
        <w:t>פגיעה</w:t>
      </w:r>
      <w:r w:rsidRPr="00C90C20">
        <w:rPr>
          <w:rFonts w:ascii="Century" w:hAnsi="Century" w:cs="Miriam"/>
          <w:b/>
          <w:spacing w:val="0"/>
          <w:szCs w:val="24"/>
          <w:rtl/>
        </w:rPr>
        <w:t xml:space="preserve"> </w:t>
      </w:r>
      <w:r w:rsidRPr="00C90C20">
        <w:rPr>
          <w:rFonts w:ascii="Century" w:hAnsi="Century" w:cs="Miriam" w:hint="eastAsia"/>
          <w:b/>
          <w:spacing w:val="0"/>
          <w:szCs w:val="24"/>
          <w:rtl/>
        </w:rPr>
        <w:t>ואין</w:t>
      </w:r>
      <w:r w:rsidRPr="00C90C20">
        <w:rPr>
          <w:rFonts w:ascii="Century" w:hAnsi="Century" w:cs="Miriam"/>
          <w:b/>
          <w:spacing w:val="0"/>
          <w:szCs w:val="24"/>
          <w:rtl/>
        </w:rPr>
        <w:t xml:space="preserve"> </w:t>
      </w:r>
      <w:r w:rsidRPr="00C90C20">
        <w:rPr>
          <w:rFonts w:ascii="Century" w:hAnsi="Century" w:cs="Miriam" w:hint="eastAsia"/>
          <w:b/>
          <w:spacing w:val="0"/>
          <w:szCs w:val="24"/>
          <w:rtl/>
        </w:rPr>
        <w:t>פוטנציאל</w:t>
      </w:r>
      <w:r w:rsidRPr="00C90C20">
        <w:rPr>
          <w:rFonts w:ascii="Century" w:hAnsi="Century" w:cs="Miriam"/>
          <w:b/>
          <w:spacing w:val="0"/>
          <w:szCs w:val="24"/>
          <w:rtl/>
        </w:rPr>
        <w:t xml:space="preserve"> </w:t>
      </w:r>
      <w:r w:rsidRPr="00C90C20">
        <w:rPr>
          <w:rFonts w:ascii="Century" w:hAnsi="Century" w:cs="Miriam" w:hint="eastAsia"/>
          <w:b/>
          <w:spacing w:val="0"/>
          <w:szCs w:val="24"/>
          <w:rtl/>
        </w:rPr>
        <w:t>לפגיעה</w:t>
      </w:r>
      <w:r w:rsidRPr="00C90C20">
        <w:rPr>
          <w:rFonts w:ascii="Century" w:hAnsi="Century" w:cs="Miriam"/>
          <w:b/>
          <w:spacing w:val="0"/>
          <w:szCs w:val="24"/>
          <w:rtl/>
        </w:rPr>
        <w:t xml:space="preserve"> </w:t>
      </w:r>
      <w:r w:rsidRPr="00C90C20">
        <w:rPr>
          <w:rFonts w:ascii="Century" w:hAnsi="Century" w:cs="Miriam" w:hint="eastAsia"/>
          <w:b/>
          <w:spacing w:val="0"/>
          <w:szCs w:val="24"/>
          <w:rtl/>
        </w:rPr>
        <w:t>באינטרסים</w:t>
      </w:r>
      <w:r w:rsidRPr="00C90C20">
        <w:rPr>
          <w:rFonts w:ascii="Century" w:hAnsi="Century" w:cs="Miriam"/>
          <w:b/>
          <w:spacing w:val="0"/>
          <w:szCs w:val="24"/>
          <w:rtl/>
        </w:rPr>
        <w:t xml:space="preserve"> </w:t>
      </w:r>
      <w:r w:rsidRPr="00C90C20">
        <w:rPr>
          <w:rFonts w:ascii="Century" w:hAnsi="Century" w:cs="Miriam" w:hint="eastAsia"/>
          <w:b/>
          <w:spacing w:val="0"/>
          <w:szCs w:val="24"/>
          <w:rtl/>
        </w:rPr>
        <w:t>חיוניים</w:t>
      </w:r>
      <w:r w:rsidRPr="00C90C20">
        <w:rPr>
          <w:rFonts w:ascii="Century" w:hAnsi="Century" w:cs="Miriam"/>
          <w:b/>
          <w:spacing w:val="0"/>
          <w:szCs w:val="24"/>
          <w:rtl/>
        </w:rPr>
        <w:t xml:space="preserve"> </w:t>
      </w:r>
      <w:r w:rsidRPr="00C90C20">
        <w:rPr>
          <w:rFonts w:ascii="Century" w:hAnsi="Century" w:cs="Miriam" w:hint="eastAsia"/>
          <w:b/>
          <w:spacing w:val="0"/>
          <w:szCs w:val="24"/>
          <w:rtl/>
        </w:rPr>
        <w:t>כתוצאה</w:t>
      </w:r>
      <w:r w:rsidRPr="00C90C20">
        <w:rPr>
          <w:rFonts w:ascii="Century" w:hAnsi="Century" w:cs="Miriam"/>
          <w:b/>
          <w:spacing w:val="0"/>
          <w:szCs w:val="24"/>
          <w:rtl/>
        </w:rPr>
        <w:t xml:space="preserve"> </w:t>
      </w:r>
      <w:r w:rsidRPr="00C90C20">
        <w:rPr>
          <w:rFonts w:ascii="Century" w:hAnsi="Century" w:cs="Miriam" w:hint="eastAsia"/>
          <w:b/>
          <w:spacing w:val="0"/>
          <w:szCs w:val="24"/>
          <w:rtl/>
        </w:rPr>
        <w:t>מהגילוי</w:t>
      </w:r>
      <w:r w:rsidRPr="00C90C20">
        <w:rPr>
          <w:rFonts w:ascii="Century" w:hAnsi="Century" w:cs="Miriam"/>
          <w:b/>
          <w:spacing w:val="0"/>
          <w:szCs w:val="24"/>
          <w:rtl/>
        </w:rPr>
        <w:t xml:space="preserve"> </w:t>
      </w:r>
      <w:r w:rsidRPr="00C90C20">
        <w:rPr>
          <w:rFonts w:ascii="Century" w:hAnsi="Century" w:cs="Miriam" w:hint="eastAsia"/>
          <w:b/>
          <w:spacing w:val="0"/>
          <w:szCs w:val="24"/>
          <w:rtl/>
        </w:rPr>
        <w:t>הנטען</w:t>
      </w:r>
      <w:r w:rsidRPr="00C90C20">
        <w:rPr>
          <w:rFonts w:ascii="Century" w:hAnsi="Century" w:cs="Miriam"/>
          <w:b/>
          <w:spacing w:val="0"/>
          <w:szCs w:val="24"/>
          <w:rtl/>
        </w:rPr>
        <w:t xml:space="preserve">, </w:t>
      </w:r>
      <w:r w:rsidRPr="00C90C20">
        <w:rPr>
          <w:rFonts w:ascii="Century" w:hAnsi="Century" w:cs="Miriam" w:hint="eastAsia"/>
          <w:b/>
          <w:spacing w:val="0"/>
          <w:szCs w:val="24"/>
          <w:rtl/>
        </w:rPr>
        <w:t>בעוצמה</w:t>
      </w:r>
      <w:r w:rsidRPr="00C90C20">
        <w:rPr>
          <w:rFonts w:ascii="Century" w:hAnsi="Century" w:cs="Miriam"/>
          <w:b/>
          <w:spacing w:val="0"/>
          <w:szCs w:val="24"/>
          <w:rtl/>
        </w:rPr>
        <w:t xml:space="preserve"> </w:t>
      </w:r>
      <w:r w:rsidRPr="00C90C20">
        <w:rPr>
          <w:rFonts w:ascii="Century" w:hAnsi="Century" w:cs="Miriam" w:hint="eastAsia"/>
          <w:b/>
          <w:spacing w:val="0"/>
          <w:szCs w:val="24"/>
          <w:rtl/>
        </w:rPr>
        <w:t>כזו</w:t>
      </w:r>
      <w:r w:rsidRPr="00C90C20">
        <w:rPr>
          <w:rFonts w:ascii="Century" w:hAnsi="Century" w:cs="Miriam"/>
          <w:b/>
          <w:spacing w:val="0"/>
          <w:szCs w:val="24"/>
          <w:rtl/>
        </w:rPr>
        <w:t xml:space="preserve"> </w:t>
      </w:r>
      <w:r w:rsidRPr="00C90C20">
        <w:rPr>
          <w:rFonts w:ascii="Century" w:hAnsi="Century" w:cs="Miriam" w:hint="eastAsia"/>
          <w:b/>
          <w:spacing w:val="0"/>
          <w:szCs w:val="24"/>
          <w:rtl/>
        </w:rPr>
        <w:t>אשר</w:t>
      </w:r>
      <w:r w:rsidRPr="00C90C20">
        <w:rPr>
          <w:rFonts w:ascii="Century" w:hAnsi="Century" w:cs="Miriam"/>
          <w:b/>
          <w:spacing w:val="0"/>
          <w:szCs w:val="24"/>
          <w:rtl/>
        </w:rPr>
        <w:t xml:space="preserve"> </w:t>
      </w:r>
      <w:r w:rsidRPr="00C90C20">
        <w:rPr>
          <w:rFonts w:ascii="Century" w:hAnsi="Century" w:cs="Miriam" w:hint="eastAsia"/>
          <w:b/>
          <w:spacing w:val="0"/>
          <w:szCs w:val="24"/>
          <w:rtl/>
        </w:rPr>
        <w:t>מצדיקה</w:t>
      </w:r>
      <w:r w:rsidRPr="00C90C20">
        <w:rPr>
          <w:rFonts w:ascii="Century" w:hAnsi="Century" w:cs="Miriam"/>
          <w:b/>
          <w:spacing w:val="0"/>
          <w:szCs w:val="24"/>
          <w:rtl/>
        </w:rPr>
        <w:t xml:space="preserve"> [את] </w:t>
      </w:r>
      <w:r w:rsidRPr="00C90C20">
        <w:rPr>
          <w:rFonts w:ascii="Century" w:hAnsi="Century" w:cs="Miriam" w:hint="eastAsia"/>
          <w:b/>
          <w:spacing w:val="0"/>
          <w:szCs w:val="24"/>
          <w:rtl/>
        </w:rPr>
        <w:t>בירור</w:t>
      </w:r>
      <w:r w:rsidRPr="00C90C20">
        <w:rPr>
          <w:rFonts w:ascii="Century" w:hAnsi="Century" w:cs="Miriam"/>
          <w:b/>
          <w:spacing w:val="0"/>
          <w:szCs w:val="24"/>
          <w:rtl/>
        </w:rPr>
        <w:t xml:space="preserve"> </w:t>
      </w:r>
      <w:r w:rsidRPr="00C90C20">
        <w:rPr>
          <w:rFonts w:ascii="Century" w:hAnsi="Century" w:cs="Miriam" w:hint="eastAsia"/>
          <w:b/>
          <w:spacing w:val="0"/>
          <w:szCs w:val="24"/>
          <w:rtl/>
        </w:rPr>
        <w:t>העניין</w:t>
      </w:r>
      <w:r w:rsidRPr="00C90C20">
        <w:rPr>
          <w:rFonts w:ascii="Century" w:hAnsi="Century" w:cs="Miriam"/>
          <w:b/>
          <w:spacing w:val="0"/>
          <w:szCs w:val="24"/>
          <w:rtl/>
        </w:rPr>
        <w:t xml:space="preserve"> </w:t>
      </w:r>
      <w:r w:rsidRPr="00C90C20">
        <w:rPr>
          <w:rFonts w:ascii="Century" w:hAnsi="Century" w:cs="Miriam" w:hint="eastAsia"/>
          <w:b/>
          <w:spacing w:val="0"/>
          <w:szCs w:val="24"/>
          <w:rtl/>
        </w:rPr>
        <w:t>בכלי</w:t>
      </w:r>
      <w:r w:rsidRPr="00C90C20">
        <w:rPr>
          <w:rFonts w:ascii="Century" w:hAnsi="Century" w:cs="Miriam"/>
          <w:b/>
          <w:spacing w:val="0"/>
          <w:szCs w:val="24"/>
          <w:rtl/>
        </w:rPr>
        <w:t xml:space="preserve"> </w:t>
      </w:r>
      <w:r w:rsidRPr="00C90C20">
        <w:rPr>
          <w:rFonts w:ascii="Century" w:hAnsi="Century" w:cs="Miriam" w:hint="eastAsia"/>
          <w:b/>
          <w:spacing w:val="0"/>
          <w:szCs w:val="24"/>
          <w:rtl/>
        </w:rPr>
        <w:t>אכיפה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w:t>
      </w:r>
      <w:r w:rsidRPr="002B5D3C">
        <w:rPr>
          <w:rFonts w:hint="cs"/>
          <w:rtl/>
        </w:rPr>
        <w:t>"</w:t>
      </w:r>
      <w:r>
        <w:rPr>
          <w:rFonts w:hint="cs"/>
          <w:rtl/>
        </w:rPr>
        <w:t xml:space="preserve">. זאת, מאחר שבמקרה זה </w:t>
      </w:r>
      <w:r w:rsidRPr="002B5D3C">
        <w:rPr>
          <w:rFonts w:hint="cs"/>
          <w:rtl/>
        </w:rPr>
        <w:t>מדובר בפעולות חקירה ש</w:t>
      </w:r>
      <w:r>
        <w:rPr>
          <w:rFonts w:hint="cs"/>
          <w:rtl/>
        </w:rPr>
        <w:t xml:space="preserve">כבר </w:t>
      </w:r>
      <w:r w:rsidRPr="002B5D3C">
        <w:rPr>
          <w:rFonts w:hint="cs"/>
          <w:rtl/>
        </w:rPr>
        <w:t>הוחלט להפסיקן</w:t>
      </w:r>
      <w:r>
        <w:rPr>
          <w:rFonts w:hint="cs"/>
          <w:rtl/>
        </w:rPr>
        <w:t xml:space="preserve"> עוד בטרם פרסומן לציבור,</w:t>
      </w:r>
      <w:r w:rsidRPr="002B5D3C">
        <w:rPr>
          <w:rFonts w:hint="cs"/>
          <w:rtl/>
        </w:rPr>
        <w:t xml:space="preserve"> </w:t>
      </w:r>
      <w:r>
        <w:rPr>
          <w:rFonts w:hint="cs"/>
          <w:rtl/>
        </w:rPr>
        <w:t xml:space="preserve">כאשר כבר התקבלה ההחלטה </w:t>
      </w:r>
      <w:r w:rsidRPr="002B5D3C">
        <w:rPr>
          <w:rFonts w:hint="cs"/>
          <w:rtl/>
        </w:rPr>
        <w:t xml:space="preserve">להפוך </w:t>
      </w:r>
      <w:r>
        <w:rPr>
          <w:rFonts w:hint="cs"/>
          <w:rtl/>
        </w:rPr>
        <w:t>אותן</w:t>
      </w:r>
      <w:r w:rsidRPr="002B5D3C">
        <w:rPr>
          <w:rFonts w:hint="cs"/>
          <w:rtl/>
        </w:rPr>
        <w:t xml:space="preserve"> לגלויות</w:t>
      </w:r>
      <w:r>
        <w:rPr>
          <w:rFonts w:hint="cs"/>
          <w:rtl/>
        </w:rPr>
        <w:t>,</w:t>
      </w:r>
      <w:r w:rsidRPr="002B5D3C">
        <w:rPr>
          <w:rFonts w:hint="cs"/>
          <w:rtl/>
        </w:rPr>
        <w:t xml:space="preserve"> ולאחר שהוסר צו איסור הפרסום. </w:t>
      </w:r>
      <w:r>
        <w:rPr>
          <w:rFonts w:hint="cs"/>
          <w:rtl/>
        </w:rPr>
        <w:t xml:space="preserve">היועצת אף ציינה כי מסקנה זו מתחדדת לנוכח הספק אם אכן נעברה עבירה. שכן, ההנחה שלפיה </w:t>
      </w:r>
      <w:r w:rsidRPr="002B5D3C">
        <w:rPr>
          <w:rFonts w:hint="cs"/>
          <w:rtl/>
        </w:rPr>
        <w:t xml:space="preserve">כלל החשופים למידע שפורסם היו </w:t>
      </w:r>
      <w:r w:rsidRPr="00C90C20">
        <w:rPr>
          <w:rFonts w:ascii="Century" w:hAnsi="Century" w:cs="Miriam" w:hint="eastAsia"/>
          <w:b/>
          <w:spacing w:val="0"/>
          <w:szCs w:val="24"/>
          <w:rtl/>
        </w:rPr>
        <w:t>רק</w:t>
      </w:r>
      <w:r w:rsidRPr="00324C55">
        <w:rPr>
          <w:rFonts w:hint="cs"/>
          <w:rtl/>
        </w:rPr>
        <w:t xml:space="preserve"> </w:t>
      </w:r>
      <w:r w:rsidRPr="002B5D3C">
        <w:rPr>
          <w:rFonts w:hint="cs"/>
          <w:rtl/>
        </w:rPr>
        <w:t xml:space="preserve">עובדי </w:t>
      </w:r>
      <w:r>
        <w:rPr>
          <w:rFonts w:hint="cs"/>
          <w:rtl/>
        </w:rPr>
        <w:t>ציבור,</w:t>
      </w:r>
      <w:r w:rsidRPr="002B5D3C">
        <w:rPr>
          <w:rFonts w:hint="cs"/>
          <w:rtl/>
        </w:rPr>
        <w:t xml:space="preserve"> </w:t>
      </w:r>
      <w:r>
        <w:rPr>
          <w:rFonts w:hint="cs"/>
          <w:rtl/>
        </w:rPr>
        <w:t>ש</w:t>
      </w:r>
      <w:r w:rsidRPr="002B5D3C">
        <w:rPr>
          <w:rFonts w:hint="cs"/>
          <w:rtl/>
        </w:rPr>
        <w:t>עליהם חלה העבירה הייחודית של "גילוי בהפרת חובה" לפי סעיף 117 לחוק העונשין, התשל"</w:t>
      </w:r>
      <w:r>
        <w:rPr>
          <w:rFonts w:hint="cs"/>
          <w:rtl/>
        </w:rPr>
        <w:t xml:space="preserve">ז-1977 (להלן: </w:t>
      </w:r>
      <w:r w:rsidRPr="00785F9D">
        <w:rPr>
          <w:rFonts w:ascii="Century" w:hAnsi="Century" w:cs="Miriam" w:hint="cs"/>
          <w:b/>
          <w:spacing w:val="0"/>
          <w:szCs w:val="24"/>
          <w:rtl/>
        </w:rPr>
        <w:t>חוק העונשין</w:t>
      </w:r>
      <w:r>
        <w:rPr>
          <w:rFonts w:hint="cs"/>
          <w:rtl/>
        </w:rPr>
        <w:t xml:space="preserve">) </w:t>
      </w:r>
      <w:r>
        <w:rPr>
          <w:rtl/>
        </w:rPr>
        <w:t>–</w:t>
      </w:r>
      <w:r>
        <w:rPr>
          <w:rFonts w:hint="cs"/>
          <w:rtl/>
        </w:rPr>
        <w:t xml:space="preserve"> כלל לא הוּכחה.</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sidRPr="002B5D3C">
        <w:rPr>
          <w:rFonts w:hint="cs"/>
          <w:rtl/>
        </w:rPr>
        <w:t>שנית</w:t>
      </w:r>
      <w:r>
        <w:rPr>
          <w:rFonts w:hint="cs"/>
          <w:rtl/>
        </w:rPr>
        <w:t>,</w:t>
      </w:r>
      <w:r w:rsidRPr="002B5D3C">
        <w:rPr>
          <w:rFonts w:hint="cs"/>
          <w:rtl/>
        </w:rPr>
        <w:t xml:space="preserve"> בכל הנוגע לתוחלת החקירה</w:t>
      </w:r>
      <w:r>
        <w:rPr>
          <w:rFonts w:hint="cs"/>
          <w:rtl/>
        </w:rPr>
        <w:t>,</w:t>
      </w:r>
      <w:r w:rsidRPr="002B5D3C">
        <w:rPr>
          <w:rFonts w:hint="cs"/>
          <w:rtl/>
        </w:rPr>
        <w:t xml:space="preserve"> הוסבר, תחילה, כי הפרסומים מושא ענייננו נחלקים לשני סוגים</w:t>
      </w:r>
      <w:r>
        <w:rPr>
          <w:rFonts w:hint="cs"/>
          <w:rtl/>
        </w:rPr>
        <w:t xml:space="preserve"> של מידע:</w:t>
      </w:r>
      <w:r w:rsidRPr="002B5D3C">
        <w:rPr>
          <w:rFonts w:hint="cs"/>
          <w:rtl/>
        </w:rPr>
        <w:t xml:space="preserve"> הסוג הראשון </w:t>
      </w:r>
      <w:r>
        <w:rPr>
          <w:rFonts w:hint="cs"/>
          <w:rtl/>
        </w:rPr>
        <w:t>ש</w:t>
      </w:r>
      <w:r w:rsidRPr="002B5D3C">
        <w:rPr>
          <w:rFonts w:hint="cs"/>
          <w:rtl/>
        </w:rPr>
        <w:t xml:space="preserve">עניינו בדיווחים על אודות הפרטים שנבדקו, </w:t>
      </w:r>
      <w:r>
        <w:rPr>
          <w:rFonts w:hint="cs"/>
          <w:rtl/>
        </w:rPr>
        <w:t>ו</w:t>
      </w:r>
      <w:r w:rsidRPr="002B5D3C">
        <w:rPr>
          <w:rFonts w:hint="cs"/>
          <w:rtl/>
        </w:rPr>
        <w:t xml:space="preserve">הסוג השני </w:t>
      </w:r>
      <w:r>
        <w:rPr>
          <w:rFonts w:hint="cs"/>
          <w:rtl/>
        </w:rPr>
        <w:t>שעניינו</w:t>
      </w:r>
      <w:r w:rsidRPr="002B5D3C">
        <w:rPr>
          <w:rFonts w:hint="cs"/>
          <w:rtl/>
        </w:rPr>
        <w:t xml:space="preserve"> פרסום "חפצי" של החשבונית. </w:t>
      </w:r>
      <w:r>
        <w:rPr>
          <w:rFonts w:hint="cs"/>
          <w:rtl/>
        </w:rPr>
        <w:t xml:space="preserve">אחר דברים אלה נקבע, כי לא ניתן לשלול את האפשרות שלפיה נמסר לעיתונאי מידע מן הסוג הראשון וזה פעל באופן עצמאי להשגת החשבונית, ממקור שאינו עובד ציבור. עוד נקבע, כי הבדיקה שנערכה על-ידי גורמי המקצוע הבהירה, כי למידע שפורסם היו חשופים גם מי שאינם עובדי ציבור, כאשר בהקשר זה יש להבחין ולהבדיל בין הגורמים שהיו חשופים לכל אחד משני סוגי המידע האמורים. שכן, עשרות אנשים היו חשופים לכך שמתקיימות פעולות חקירה לבירור המידע (קרי, המידע מהסוג הראשון), בכללם עובדי ציבור ומי שאינם עובדי ציבור דוגמת מי שנגבתה מהם עדות במסגרת החקירה, עורכי דין שיש </w:t>
      </w:r>
      <w:r>
        <w:rPr>
          <w:rFonts w:hint="cs"/>
          <w:rtl/>
        </w:rPr>
        <w:lastRenderedPageBreak/>
        <w:t>מקום להניח כי הם מצויים בפרטי החקירה ומקורביהם שייתכן ונחשפו למידע במישרין או בעקיפין. בהמשך לכך נקבע, כי נגישות לחשבונית (דהיינו, המידע מהסוג שני) הייתה קיימת לשתי קבוצות האנשים, אך יש להתייחס לכל קבוצה באופן שונה. הקבוצה הראשונה עניינה במי שיכלו להיחשף לחשבונית בטרם זו הועברה לידי המשטרה, וקיים קושי לאמוד את היקפה. הקבוצה השנייה מונה בעיקרה כ-35 עובדי ציבור שלהם הייתה גישה לחשבונית לאחר שזו נתפסה על-ידי המשטרה. בהקשר זה הוער, כי ממצאי הבדיקה העלו כי לא ניתן לזהות האם תצלום החשבונית שפורסם הוא מתוך תיק החקירה אם לאו.</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זאת ועוד צוין בהחלטת היועצת, כי בעת בחינת תוחלת החקירה "התחדדו" נתונים עובדתיים המצביעים על התוחלת הנמוכה. הנתון הראשון הוא מספר האנשים הרב וריבוי המעגלים השונים שאנשים אלה מגיעים מהם, ואשר היו חשופים למידע; נתון זה, לדעת היועצת, עלול להביא להחשדת הרבים כאשר אין כל חשד קונקרטי ביחס למי מהם תוך פגיעה בזכותם החוקתית לפרטיות. הנתון השני הוא שבין האנשים שהיו חשופים למידע ואשר היו בעלי נגישות לחשבונית, נכללים גם מי שהאיסור הפלילי כלל לא חל עליהם, משום שהם לא עובדי ציבור. הנתון השלישי הוא הזמן שחלף בין מועד רכישת הצמיד, בחודש פברואר 2015, ועד למועד פרסום החשבונית, בחודש נובמבר 2021, והשלכותיו על תוחלת החקירה. </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לאור ממצאים אלה </w:t>
      </w:r>
      <w:r>
        <w:rPr>
          <w:rtl/>
        </w:rPr>
        <w:t>–</w:t>
      </w:r>
      <w:r>
        <w:rPr>
          <w:rFonts w:hint="cs"/>
          <w:rtl/>
        </w:rPr>
        <w:t xml:space="preserve"> שנבחנו גם על-ידי פרקליט המדינה וראש אגף חקירות ומודיעין במשטרה שנתנו דעתם למכלול הזכויות והאינטרסים המתנגשים במקרה זה, לרבות חופש העיתונות וזכות הציבור לדעת </w:t>
      </w:r>
      <w:r>
        <w:rPr>
          <w:rtl/>
        </w:rPr>
        <w:t>–</w:t>
      </w:r>
      <w:r>
        <w:rPr>
          <w:rFonts w:hint="cs"/>
          <w:rtl/>
        </w:rPr>
        <w:t xml:space="preserve"> החליטה היועצת לאמץ את העמדה המקצועית שהוצגה לה, וקבעה כי לא קמה הצדקה לחקירה פלילית בנדון.</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בצד האמור וטרם חתימה הובהר, כי היועצת מצאה לנכון להידרש לסוגיה העקרונית שעניינה תופעת מסירת מידע האסור בגילוי, ומשכך היא החליטה לקיים עבודת מטה צופה פני עתיד בעניין, באמצעות גורם חיצוני מומחה שיבחן את הסוגיה ויגיש לה המלצות מעשיות לנקיטת מהלכים למניעת הישנות הדלפות של חומרי חקירה.</w:t>
      </w:r>
    </w:p>
    <w:p w:rsidR="00DB6151" w:rsidRPr="00B70090"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 xml:space="preserve">ביום 19.01.2023 התקיים דיון בעתירה (לפני הרכב השופטים </w:t>
      </w:r>
      <w:r w:rsidRPr="007F0B3A">
        <w:rPr>
          <w:rFonts w:ascii="Century" w:hAnsi="Century" w:cs="Miriam" w:hint="cs"/>
          <w:b/>
          <w:spacing w:val="0"/>
          <w:szCs w:val="24"/>
          <w:rtl/>
        </w:rPr>
        <w:t>נ' סולברג</w:t>
      </w:r>
      <w:r>
        <w:rPr>
          <w:rFonts w:hint="cs"/>
          <w:rtl/>
        </w:rPr>
        <w:t xml:space="preserve">, </w:t>
      </w:r>
      <w:r w:rsidRPr="007F0B3A">
        <w:rPr>
          <w:rFonts w:ascii="Century" w:hAnsi="Century" w:cs="Miriam" w:hint="cs"/>
          <w:b/>
          <w:spacing w:val="0"/>
          <w:szCs w:val="24"/>
          <w:rtl/>
        </w:rPr>
        <w:t>ע' ברון</w:t>
      </w:r>
      <w:r w:rsidRPr="007F0B3A">
        <w:rPr>
          <w:rFonts w:hint="cs"/>
          <w:rtl/>
        </w:rPr>
        <w:t xml:space="preserve"> </w:t>
      </w:r>
      <w:r w:rsidRPr="007F0B3A">
        <w:rPr>
          <w:rFonts w:ascii="Century" w:hAnsi="Century" w:hint="cs"/>
          <w:rtl/>
        </w:rPr>
        <w:t>ו</w:t>
      </w:r>
      <w:r>
        <w:rPr>
          <w:rFonts w:ascii="Century" w:hAnsi="Century" w:hint="cs"/>
          <w:rtl/>
        </w:rPr>
        <w:t>-</w:t>
      </w:r>
      <w:r w:rsidRPr="007F0B3A">
        <w:rPr>
          <w:rFonts w:ascii="Century" w:hAnsi="Century" w:cs="Miriam" w:hint="cs"/>
          <w:b/>
          <w:spacing w:val="0"/>
          <w:szCs w:val="24"/>
          <w:rtl/>
        </w:rPr>
        <w:t>ח' כבוב</w:t>
      </w:r>
      <w:r>
        <w:rPr>
          <w:rFonts w:hint="cs"/>
          <w:rtl/>
        </w:rPr>
        <w:t xml:space="preserve">), בסופו ניתנה החלטה לפיה בנסיבות העניין </w:t>
      </w:r>
      <w:r w:rsidRPr="007F0B3A">
        <w:rPr>
          <w:rtl/>
        </w:rPr>
        <w:t>העותר</w:t>
      </w:r>
      <w:r>
        <w:rPr>
          <w:rFonts w:hint="cs"/>
          <w:rtl/>
        </w:rPr>
        <w:t xml:space="preserve"> רשאי</w:t>
      </w:r>
      <w:r w:rsidRPr="007F0B3A">
        <w:rPr>
          <w:rtl/>
        </w:rPr>
        <w:t xml:space="preserve"> להגיש עתירה מתוקנת</w:t>
      </w:r>
      <w:r>
        <w:rPr>
          <w:rFonts w:hint="cs"/>
          <w:rtl/>
        </w:rPr>
        <w:t xml:space="preserve"> בתוך 21 ימים, ו</w:t>
      </w:r>
      <w:r w:rsidRPr="007F0B3A">
        <w:rPr>
          <w:rtl/>
        </w:rPr>
        <w:t xml:space="preserve">תגובה </w:t>
      </w:r>
      <w:r>
        <w:rPr>
          <w:rFonts w:hint="cs"/>
          <w:rtl/>
        </w:rPr>
        <w:t>לעתירה המתוקנת</w:t>
      </w:r>
      <w:r w:rsidRPr="007F0B3A">
        <w:rPr>
          <w:rtl/>
        </w:rPr>
        <w:t xml:space="preserve"> תוגש בתוך 21 יום </w:t>
      </w:r>
      <w:r>
        <w:rPr>
          <w:rFonts w:hint="cs"/>
          <w:rtl/>
        </w:rPr>
        <w:t>לאחר מכן</w:t>
      </w:r>
      <w:r w:rsidRPr="007F0B3A">
        <w:rPr>
          <w:rtl/>
        </w:rPr>
        <w:t>.</w:t>
      </w:r>
      <w:r>
        <w:rPr>
          <w:rFonts w:hint="cs"/>
          <w:rtl/>
        </w:rPr>
        <w:t xml:space="preserve"> עוד נקבע בהחלטה כי </w:t>
      </w:r>
      <w:r w:rsidRPr="007F0B3A">
        <w:rPr>
          <w:rtl/>
        </w:rPr>
        <w:t xml:space="preserve">דיון לפני </w:t>
      </w:r>
      <w:r>
        <w:rPr>
          <w:rFonts w:hint="cs"/>
          <w:rtl/>
        </w:rPr>
        <w:t xml:space="preserve">אותו </w:t>
      </w:r>
      <w:r w:rsidRPr="007F0B3A">
        <w:rPr>
          <w:rtl/>
        </w:rPr>
        <w:t>ההרכב או רובו, י</w:t>
      </w:r>
      <w:r>
        <w:rPr>
          <w:rFonts w:hint="cs"/>
          <w:rtl/>
        </w:rPr>
        <w:t>י</w:t>
      </w:r>
      <w:r w:rsidRPr="007F0B3A">
        <w:rPr>
          <w:rtl/>
        </w:rPr>
        <w:t>קבע במועד קרוב לאחר מכן.</w:t>
      </w:r>
    </w:p>
    <w:p w:rsidR="00DB6151" w:rsidRDefault="00DB6151" w:rsidP="004356B2">
      <w:pPr>
        <w:pStyle w:val="Ruller41"/>
        <w:keepNext/>
        <w:overflowPunct/>
        <w:autoSpaceDE/>
        <w:autoSpaceDN/>
        <w:adjustRightInd/>
        <w:spacing w:before="240" w:after="240"/>
        <w:textAlignment w:val="auto"/>
        <w:rPr>
          <w:rFonts w:ascii="Century" w:hAnsi="Century" w:cs="Miriam"/>
          <w:b/>
          <w:spacing w:val="0"/>
          <w:szCs w:val="24"/>
        </w:rPr>
      </w:pPr>
      <w:r>
        <w:rPr>
          <w:rFonts w:ascii="Century" w:hAnsi="Century" w:cs="Miriam" w:hint="cs"/>
          <w:b/>
          <w:spacing w:val="0"/>
          <w:szCs w:val="24"/>
          <w:rtl/>
        </w:rPr>
        <w:lastRenderedPageBreak/>
        <w:t xml:space="preserve">ב.3. עיקרי העתירה המתוקנת </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לאחר ארכה קצרה, הוגשה ביום 13.02.2023 העתירה המתוקנת, במסגרתה התבקש צו על-תנאי המורה ליועצת לבוא </w:t>
      </w:r>
      <w:proofErr w:type="spellStart"/>
      <w:r>
        <w:rPr>
          <w:rFonts w:hint="cs"/>
          <w:rtl/>
        </w:rPr>
        <w:t>וליתן</w:t>
      </w:r>
      <w:proofErr w:type="spellEnd"/>
      <w:r>
        <w:rPr>
          <w:rFonts w:hint="cs"/>
          <w:rtl/>
        </w:rPr>
        <w:t xml:space="preserve"> טעם "</w:t>
      </w:r>
      <w:r w:rsidRPr="00C90C20">
        <w:rPr>
          <w:rFonts w:ascii="Century" w:hAnsi="Century" w:cs="Miriam" w:hint="eastAsia"/>
          <w:b/>
          <w:spacing w:val="0"/>
          <w:szCs w:val="24"/>
          <w:rtl/>
        </w:rPr>
        <w:t>מדוע</w:t>
      </w:r>
      <w:r w:rsidRPr="00C90C20">
        <w:rPr>
          <w:rFonts w:ascii="Century" w:hAnsi="Century" w:cs="Miriam"/>
          <w:b/>
          <w:spacing w:val="0"/>
          <w:szCs w:val="24"/>
          <w:rtl/>
        </w:rPr>
        <w:t xml:space="preserve"> </w:t>
      </w:r>
      <w:r w:rsidRPr="00C90C20">
        <w:rPr>
          <w:rFonts w:ascii="Century" w:hAnsi="Century" w:cs="Miriam" w:hint="eastAsia"/>
          <w:b/>
          <w:spacing w:val="0"/>
          <w:szCs w:val="24"/>
          <w:rtl/>
        </w:rPr>
        <w:t>לא</w:t>
      </w:r>
      <w:r w:rsidRPr="00C90C20">
        <w:rPr>
          <w:rFonts w:ascii="Century" w:hAnsi="Century" w:cs="Miriam"/>
          <w:b/>
          <w:spacing w:val="0"/>
          <w:szCs w:val="24"/>
          <w:rtl/>
        </w:rPr>
        <w:t xml:space="preserve"> </w:t>
      </w:r>
      <w:r w:rsidRPr="00C90C20">
        <w:rPr>
          <w:rFonts w:ascii="Century" w:hAnsi="Century" w:cs="Miriam" w:hint="eastAsia"/>
          <w:b/>
          <w:spacing w:val="0"/>
          <w:szCs w:val="24"/>
          <w:rtl/>
        </w:rPr>
        <w:t>תורה</w:t>
      </w:r>
      <w:r w:rsidRPr="00C90C20">
        <w:rPr>
          <w:rFonts w:ascii="Century" w:hAnsi="Century" w:cs="Miriam"/>
          <w:b/>
          <w:spacing w:val="0"/>
          <w:szCs w:val="24"/>
          <w:rtl/>
        </w:rPr>
        <w:t xml:space="preserve"> </w:t>
      </w:r>
      <w:r w:rsidRPr="00C90C20">
        <w:rPr>
          <w:rFonts w:ascii="Century" w:hAnsi="Century" w:cs="Miriam" w:hint="eastAsia"/>
          <w:b/>
          <w:spacing w:val="0"/>
          <w:szCs w:val="24"/>
          <w:rtl/>
        </w:rPr>
        <w:t>על</w:t>
      </w:r>
      <w:r w:rsidRPr="00C90C20">
        <w:rPr>
          <w:rFonts w:ascii="Century" w:hAnsi="Century" w:cs="Miriam"/>
          <w:b/>
          <w:spacing w:val="0"/>
          <w:szCs w:val="24"/>
          <w:rtl/>
        </w:rPr>
        <w:t xml:space="preserve"> </w:t>
      </w:r>
      <w:r w:rsidRPr="00C90C20">
        <w:rPr>
          <w:rFonts w:ascii="Century" w:hAnsi="Century" w:cs="Miriam" w:hint="eastAsia"/>
          <w:b/>
          <w:spacing w:val="0"/>
          <w:szCs w:val="24"/>
          <w:rtl/>
        </w:rPr>
        <w:t>פתיחה</w:t>
      </w:r>
      <w:r w:rsidRPr="00C90C20">
        <w:rPr>
          <w:rFonts w:ascii="Century" w:hAnsi="Century" w:cs="Miriam"/>
          <w:b/>
          <w:spacing w:val="0"/>
          <w:szCs w:val="24"/>
          <w:rtl/>
        </w:rPr>
        <w:t xml:space="preserve"> </w:t>
      </w:r>
      <w:r w:rsidRPr="00C90C20">
        <w:rPr>
          <w:rFonts w:ascii="Century" w:hAnsi="Century" w:cs="Miriam" w:hint="eastAsia"/>
          <w:b/>
          <w:spacing w:val="0"/>
          <w:szCs w:val="24"/>
          <w:rtl/>
        </w:rPr>
        <w:t>בחקירה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sidRPr="00C90C20">
        <w:rPr>
          <w:rFonts w:ascii="Century" w:hAnsi="Century" w:cs="Miriam"/>
          <w:b/>
          <w:spacing w:val="0"/>
          <w:szCs w:val="24"/>
          <w:rtl/>
        </w:rPr>
        <w:t xml:space="preserve"> </w:t>
      </w:r>
      <w:r w:rsidRPr="00C90C20">
        <w:rPr>
          <w:rFonts w:ascii="Century" w:hAnsi="Century" w:cs="Miriam" w:hint="eastAsia"/>
          <w:b/>
          <w:spacing w:val="0"/>
          <w:szCs w:val="24"/>
          <w:rtl/>
        </w:rPr>
        <w:t>בנוגע</w:t>
      </w:r>
      <w:r w:rsidRPr="00C90C20">
        <w:rPr>
          <w:rFonts w:ascii="Century" w:hAnsi="Century" w:cs="Miriam"/>
          <w:b/>
          <w:spacing w:val="0"/>
          <w:szCs w:val="24"/>
          <w:rtl/>
        </w:rPr>
        <w:t xml:space="preserve"> </w:t>
      </w:r>
      <w:r w:rsidRPr="00C90C20">
        <w:rPr>
          <w:rFonts w:ascii="Century" w:hAnsi="Century" w:cs="Miriam" w:hint="eastAsia"/>
          <w:b/>
          <w:spacing w:val="0"/>
          <w:szCs w:val="24"/>
          <w:rtl/>
        </w:rPr>
        <w:t>להדלפות</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פליליות</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חומרי</w:t>
      </w:r>
      <w:r w:rsidRPr="00C90C20">
        <w:rPr>
          <w:rFonts w:ascii="Century" w:hAnsi="Century" w:cs="Miriam"/>
          <w:b/>
          <w:spacing w:val="0"/>
          <w:szCs w:val="24"/>
          <w:rtl/>
        </w:rPr>
        <w:t xml:space="preserve"> </w:t>
      </w:r>
      <w:r w:rsidRPr="00C90C20">
        <w:rPr>
          <w:rFonts w:ascii="Century" w:hAnsi="Century" w:cs="Miriam" w:hint="eastAsia"/>
          <w:b/>
          <w:spacing w:val="0"/>
          <w:szCs w:val="24"/>
          <w:rtl/>
        </w:rPr>
        <w:t>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והעברתם</w:t>
      </w:r>
      <w:r w:rsidRPr="00C90C20">
        <w:rPr>
          <w:rFonts w:ascii="Century" w:hAnsi="Century" w:cs="Miriam"/>
          <w:b/>
          <w:spacing w:val="0"/>
          <w:szCs w:val="24"/>
          <w:rtl/>
        </w:rPr>
        <w:t xml:space="preserve"> </w:t>
      </w:r>
      <w:r w:rsidRPr="00C90C20">
        <w:rPr>
          <w:rFonts w:ascii="Century" w:hAnsi="Century" w:cs="Miriam" w:hint="eastAsia"/>
          <w:b/>
          <w:spacing w:val="0"/>
          <w:szCs w:val="24"/>
          <w:rtl/>
        </w:rPr>
        <w:t>שלא</w:t>
      </w:r>
      <w:r w:rsidRPr="00C90C20">
        <w:rPr>
          <w:rFonts w:ascii="Century" w:hAnsi="Century" w:cs="Miriam"/>
          <w:b/>
          <w:spacing w:val="0"/>
          <w:szCs w:val="24"/>
          <w:rtl/>
        </w:rPr>
        <w:t xml:space="preserve"> </w:t>
      </w:r>
      <w:r w:rsidRPr="00C90C20">
        <w:rPr>
          <w:rFonts w:ascii="Century" w:hAnsi="Century" w:cs="Miriam" w:hint="eastAsia"/>
          <w:b/>
          <w:spacing w:val="0"/>
          <w:szCs w:val="24"/>
          <w:rtl/>
        </w:rPr>
        <w:t>כדין</w:t>
      </w:r>
      <w:r w:rsidRPr="00C90C20">
        <w:rPr>
          <w:rFonts w:ascii="Century" w:hAnsi="Century" w:cs="Miriam"/>
          <w:b/>
          <w:spacing w:val="0"/>
          <w:szCs w:val="24"/>
          <w:rtl/>
        </w:rPr>
        <w:t xml:space="preserve"> </w:t>
      </w:r>
      <w:r w:rsidRPr="00C90C20">
        <w:rPr>
          <w:rFonts w:ascii="Century" w:hAnsi="Century" w:cs="Miriam" w:hint="eastAsia"/>
          <w:b/>
          <w:spacing w:val="0"/>
          <w:szCs w:val="24"/>
          <w:rtl/>
        </w:rPr>
        <w:t>לגורמים</w:t>
      </w:r>
      <w:r w:rsidRPr="00C90C20">
        <w:rPr>
          <w:rFonts w:ascii="Century" w:hAnsi="Century" w:cs="Miriam"/>
          <w:b/>
          <w:spacing w:val="0"/>
          <w:szCs w:val="24"/>
          <w:rtl/>
        </w:rPr>
        <w:t xml:space="preserve"> </w:t>
      </w:r>
      <w:r w:rsidRPr="00C90C20">
        <w:rPr>
          <w:rFonts w:ascii="Century" w:hAnsi="Century" w:cs="Miriam" w:hint="eastAsia"/>
          <w:b/>
          <w:spacing w:val="0"/>
          <w:szCs w:val="24"/>
          <w:rtl/>
        </w:rPr>
        <w:t>בכלי</w:t>
      </w:r>
      <w:r w:rsidRPr="00C90C20">
        <w:rPr>
          <w:rFonts w:ascii="Century" w:hAnsi="Century" w:cs="Miriam"/>
          <w:b/>
          <w:spacing w:val="0"/>
          <w:szCs w:val="24"/>
          <w:rtl/>
        </w:rPr>
        <w:t xml:space="preserve"> </w:t>
      </w:r>
      <w:r w:rsidRPr="00C90C20">
        <w:rPr>
          <w:rFonts w:ascii="Century" w:hAnsi="Century" w:cs="Miriam" w:hint="eastAsia"/>
          <w:b/>
          <w:spacing w:val="0"/>
          <w:szCs w:val="24"/>
          <w:rtl/>
        </w:rPr>
        <w:t>תקשורת</w:t>
      </w:r>
      <w:r w:rsidRPr="00C90C20">
        <w:rPr>
          <w:rFonts w:ascii="Century" w:hAnsi="Century" w:cs="Miriam"/>
          <w:b/>
          <w:spacing w:val="0"/>
          <w:szCs w:val="24"/>
          <w:rtl/>
        </w:rPr>
        <w:t xml:space="preserve"> </w:t>
      </w:r>
      <w:r w:rsidRPr="00C90C20">
        <w:rPr>
          <w:rFonts w:ascii="Century" w:hAnsi="Century" w:cs="Miriam" w:hint="eastAsia"/>
          <w:b/>
          <w:spacing w:val="0"/>
          <w:szCs w:val="24"/>
          <w:rtl/>
        </w:rPr>
        <w:t>שונים</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בפתח העתירה המתוקנת נטען, כי החלטת היועצת מרוקנת מתוכן את הוראות סעיף 117 לחוק העונשין, סותרת את פסיקת בית משפט זה ומתעלמת מהחלטת בית המשפט המחוזי מיום 16.11.2021. זאת נטען בהמשך לסברת העותר כי "</w:t>
      </w:r>
      <w:r w:rsidRPr="00C90C20">
        <w:rPr>
          <w:rFonts w:ascii="Century" w:hAnsi="Century" w:cs="Miriam" w:hint="eastAsia"/>
          <w:b/>
          <w:spacing w:val="0"/>
          <w:szCs w:val="24"/>
          <w:rtl/>
        </w:rPr>
        <w:t>המשקל</w:t>
      </w:r>
      <w:r w:rsidRPr="00C90C20">
        <w:rPr>
          <w:rFonts w:ascii="Century" w:hAnsi="Century" w:cs="Miriam"/>
          <w:b/>
          <w:spacing w:val="0"/>
          <w:szCs w:val="24"/>
          <w:rtl/>
        </w:rPr>
        <w:t xml:space="preserve"> </w:t>
      </w:r>
      <w:r w:rsidRPr="00C90C20">
        <w:rPr>
          <w:rFonts w:ascii="Century" w:hAnsi="Century" w:cs="Miriam" w:hint="eastAsia"/>
          <w:b/>
          <w:spacing w:val="0"/>
          <w:szCs w:val="24"/>
          <w:rtl/>
        </w:rPr>
        <w:t>המרכזי</w:t>
      </w:r>
      <w:r>
        <w:rPr>
          <w:rFonts w:hint="cs"/>
          <w:rtl/>
        </w:rPr>
        <w:t>" בהחלטת היועצת ניתן דווקא לכך, שלשיטת היועצת, ההדלפה לא פגעה באינטרסים מוגנים באופן המצדיק פתיחה בחקירה פלילית. העותר אף הלין בהקשר זה, כי הדברים אינם מתיישבים עם העובדה שהודגשה בהחלטה החשיבות הנודעת לשמירה על זכויות חשודים ונאשמים, בכל הקשור להדלפה לתקשורת של מידע שהושג בחקירה פלילית.</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עוד טען העותר, כי קביעותיה של היועצת בדבר תוחלת החקירה "</w:t>
      </w:r>
      <w:r w:rsidRPr="00C90C20">
        <w:rPr>
          <w:rFonts w:ascii="Century" w:hAnsi="Century" w:cs="Miriam" w:hint="eastAsia"/>
          <w:b/>
          <w:spacing w:val="0"/>
          <w:szCs w:val="24"/>
          <w:rtl/>
        </w:rPr>
        <w:t>לא</w:t>
      </w:r>
      <w:r w:rsidRPr="00C90C20">
        <w:rPr>
          <w:rFonts w:ascii="Century" w:hAnsi="Century" w:cs="Miriam"/>
          <w:b/>
          <w:spacing w:val="0"/>
          <w:szCs w:val="24"/>
          <w:rtl/>
        </w:rPr>
        <w:t xml:space="preserve"> </w:t>
      </w:r>
      <w:r w:rsidRPr="00C90C20">
        <w:rPr>
          <w:rFonts w:ascii="Century" w:hAnsi="Century" w:cs="Miriam" w:hint="eastAsia"/>
          <w:b/>
          <w:spacing w:val="0"/>
          <w:szCs w:val="24"/>
          <w:rtl/>
        </w:rPr>
        <w:t>יכולות</w:t>
      </w:r>
      <w:r w:rsidRPr="00C90C20">
        <w:rPr>
          <w:rFonts w:ascii="Century" w:hAnsi="Century" w:cs="Miriam"/>
          <w:b/>
          <w:spacing w:val="0"/>
          <w:szCs w:val="24"/>
          <w:rtl/>
        </w:rPr>
        <w:t xml:space="preserve"> </w:t>
      </w:r>
      <w:r w:rsidRPr="00C90C20">
        <w:rPr>
          <w:rFonts w:ascii="Century" w:hAnsi="Century" w:cs="Miriam" w:hint="eastAsia"/>
          <w:b/>
          <w:spacing w:val="0"/>
          <w:szCs w:val="24"/>
          <w:rtl/>
        </w:rPr>
        <w:t>לעמוד</w:t>
      </w:r>
      <w:r>
        <w:rPr>
          <w:rFonts w:hint="cs"/>
          <w:rtl/>
        </w:rPr>
        <w:t>". לשיטתו, "</w:t>
      </w:r>
      <w:r w:rsidRPr="00C90C20">
        <w:rPr>
          <w:rFonts w:ascii="Century" w:hAnsi="Century" w:cs="Miriam" w:hint="eastAsia"/>
          <w:b/>
          <w:spacing w:val="0"/>
          <w:szCs w:val="24"/>
          <w:rtl/>
        </w:rPr>
        <w:t>אין</w:t>
      </w:r>
      <w:r w:rsidRPr="00C90C20">
        <w:rPr>
          <w:rFonts w:ascii="Century" w:hAnsi="Century" w:cs="Miriam"/>
          <w:b/>
          <w:spacing w:val="0"/>
          <w:szCs w:val="24"/>
          <w:rtl/>
        </w:rPr>
        <w:t xml:space="preserve"> </w:t>
      </w:r>
      <w:r w:rsidRPr="00C90C20">
        <w:rPr>
          <w:rFonts w:ascii="Century" w:hAnsi="Century" w:cs="Miriam" w:hint="eastAsia"/>
          <w:b/>
          <w:spacing w:val="0"/>
          <w:szCs w:val="24"/>
          <w:rtl/>
        </w:rPr>
        <w:t>מקרה</w:t>
      </w:r>
      <w:r w:rsidRPr="00C90C20">
        <w:rPr>
          <w:rFonts w:ascii="Century" w:hAnsi="Century" w:cs="Miriam"/>
          <w:b/>
          <w:spacing w:val="0"/>
          <w:szCs w:val="24"/>
          <w:rtl/>
        </w:rPr>
        <w:t xml:space="preserve"> </w:t>
      </w:r>
      <w:r w:rsidRPr="00C90C20">
        <w:rPr>
          <w:rFonts w:ascii="Century" w:hAnsi="Century" w:cs="Miriam" w:hint="eastAsia"/>
          <w:b/>
          <w:spacing w:val="0"/>
          <w:szCs w:val="24"/>
          <w:rtl/>
        </w:rPr>
        <w:t>ברור</w:t>
      </w:r>
      <w:r w:rsidRPr="00C90C20">
        <w:rPr>
          <w:rFonts w:ascii="Century" w:hAnsi="Century" w:cs="Miriam"/>
          <w:b/>
          <w:spacing w:val="0"/>
          <w:szCs w:val="24"/>
          <w:rtl/>
        </w:rPr>
        <w:t xml:space="preserve"> </w:t>
      </w:r>
      <w:r w:rsidRPr="00C90C20">
        <w:rPr>
          <w:rFonts w:ascii="Century" w:hAnsi="Century" w:cs="Miriam" w:hint="eastAsia"/>
          <w:b/>
          <w:spacing w:val="0"/>
          <w:szCs w:val="24"/>
          <w:rtl/>
        </w:rPr>
        <w:t>ומובהק</w:t>
      </w:r>
      <w:r w:rsidRPr="00C90C20">
        <w:rPr>
          <w:rFonts w:ascii="Century" w:hAnsi="Century" w:cs="Miriam"/>
          <w:b/>
          <w:spacing w:val="0"/>
          <w:szCs w:val="24"/>
          <w:rtl/>
        </w:rPr>
        <w:t xml:space="preserve"> </w:t>
      </w:r>
      <w:r w:rsidRPr="00C90C20">
        <w:rPr>
          <w:rFonts w:ascii="Century" w:hAnsi="Century" w:cs="Miriam" w:hint="eastAsia"/>
          <w:b/>
          <w:spacing w:val="0"/>
          <w:szCs w:val="24"/>
          <w:rtl/>
        </w:rPr>
        <w:t>יותר</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הדלפת</w:t>
      </w:r>
      <w:r w:rsidRPr="00C90C20">
        <w:rPr>
          <w:rFonts w:ascii="Century" w:hAnsi="Century" w:cs="Miriam"/>
          <w:b/>
          <w:spacing w:val="0"/>
          <w:szCs w:val="24"/>
          <w:rtl/>
        </w:rPr>
        <w:t xml:space="preserve"> </w:t>
      </w:r>
      <w:r w:rsidRPr="00C90C20">
        <w:rPr>
          <w:rFonts w:ascii="Century" w:hAnsi="Century" w:cs="Miriam" w:hint="eastAsia"/>
          <w:b/>
          <w:spacing w:val="0"/>
          <w:szCs w:val="24"/>
          <w:rtl/>
        </w:rPr>
        <w:t>חומרי</w:t>
      </w:r>
      <w:r w:rsidRPr="00C90C20">
        <w:rPr>
          <w:rFonts w:ascii="Century" w:hAnsi="Century" w:cs="Miriam"/>
          <w:b/>
          <w:spacing w:val="0"/>
          <w:szCs w:val="24"/>
          <w:rtl/>
        </w:rPr>
        <w:t xml:space="preserve"> </w:t>
      </w:r>
      <w:r w:rsidRPr="00C90C20">
        <w:rPr>
          <w:rFonts w:ascii="Century" w:hAnsi="Century" w:cs="Miriam" w:hint="eastAsia"/>
          <w:b/>
          <w:spacing w:val="0"/>
          <w:szCs w:val="24"/>
          <w:rtl/>
        </w:rPr>
        <w:t>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על</w:t>
      </w:r>
      <w:r w:rsidRPr="00C90C20">
        <w:rPr>
          <w:rFonts w:ascii="Century" w:hAnsi="Century" w:cs="Miriam"/>
          <w:b/>
          <w:spacing w:val="0"/>
          <w:szCs w:val="24"/>
          <w:rtl/>
        </w:rPr>
        <w:t xml:space="preserve"> </w:t>
      </w:r>
      <w:r w:rsidRPr="00C90C20">
        <w:rPr>
          <w:rFonts w:ascii="Century" w:hAnsi="Century" w:cs="Miriam" w:hint="eastAsia"/>
          <w:b/>
          <w:spacing w:val="0"/>
          <w:szCs w:val="24"/>
          <w:rtl/>
        </w:rPr>
        <w:t>ידי</w:t>
      </w:r>
      <w:r w:rsidRPr="00C90C20">
        <w:rPr>
          <w:rFonts w:ascii="Century" w:hAnsi="Century" w:cs="Miriam"/>
          <w:b/>
          <w:spacing w:val="0"/>
          <w:szCs w:val="24"/>
          <w:rtl/>
        </w:rPr>
        <w:t xml:space="preserve"> </w:t>
      </w:r>
      <w:r w:rsidRPr="00C90C20">
        <w:rPr>
          <w:rFonts w:ascii="Century" w:hAnsi="Century" w:cs="Miriam" w:hint="eastAsia"/>
          <w:b/>
          <w:spacing w:val="0"/>
          <w:szCs w:val="24"/>
          <w:rtl/>
        </w:rPr>
        <w:t>עובד</w:t>
      </w:r>
      <w:r w:rsidRPr="00C90C20">
        <w:rPr>
          <w:rFonts w:ascii="Century" w:hAnsi="Century" w:cs="Miriam"/>
          <w:b/>
          <w:spacing w:val="0"/>
          <w:szCs w:val="24"/>
          <w:rtl/>
        </w:rPr>
        <w:t xml:space="preserve"> </w:t>
      </w:r>
      <w:r w:rsidRPr="00C90C20">
        <w:rPr>
          <w:rFonts w:ascii="Century" w:hAnsi="Century" w:cs="Miriam" w:hint="eastAsia"/>
          <w:b/>
          <w:spacing w:val="0"/>
          <w:szCs w:val="24"/>
          <w:rtl/>
        </w:rPr>
        <w:t>ציבור</w:t>
      </w:r>
      <w:r w:rsidRPr="00C90C20">
        <w:rPr>
          <w:rFonts w:ascii="Century" w:hAnsi="Century" w:cs="Miriam"/>
          <w:b/>
          <w:spacing w:val="0"/>
          <w:szCs w:val="24"/>
          <w:rtl/>
        </w:rPr>
        <w:t xml:space="preserve"> </w:t>
      </w:r>
      <w:r w:rsidRPr="00C90C20">
        <w:rPr>
          <w:rFonts w:ascii="Century" w:hAnsi="Century" w:cs="Miriam" w:hint="eastAsia"/>
          <w:b/>
          <w:spacing w:val="0"/>
          <w:szCs w:val="24"/>
          <w:rtl/>
        </w:rPr>
        <w:t>שמצדיק</w:t>
      </w:r>
      <w:r w:rsidRPr="00C90C20">
        <w:rPr>
          <w:rFonts w:ascii="Century" w:hAnsi="Century" w:cs="Miriam"/>
          <w:b/>
          <w:spacing w:val="0"/>
          <w:szCs w:val="24"/>
          <w:rtl/>
        </w:rPr>
        <w:t xml:space="preserve"> </w:t>
      </w:r>
      <w:r w:rsidRPr="00C90C20">
        <w:rPr>
          <w:rFonts w:ascii="Century" w:hAnsi="Century" w:cs="Miriam" w:hint="eastAsia"/>
          <w:b/>
          <w:spacing w:val="0"/>
          <w:szCs w:val="24"/>
          <w:rtl/>
        </w:rPr>
        <w:t>פתיחה</w:t>
      </w:r>
      <w:r w:rsidRPr="00C90C20">
        <w:rPr>
          <w:rFonts w:ascii="Century" w:hAnsi="Century" w:cs="Miriam"/>
          <w:b/>
          <w:spacing w:val="0"/>
          <w:szCs w:val="24"/>
          <w:rtl/>
        </w:rPr>
        <w:t xml:space="preserve"> </w:t>
      </w:r>
      <w:r w:rsidRPr="00C90C20">
        <w:rPr>
          <w:rFonts w:ascii="Century" w:hAnsi="Century" w:cs="Miriam" w:hint="eastAsia"/>
          <w:b/>
          <w:spacing w:val="0"/>
          <w:szCs w:val="24"/>
          <w:rtl/>
        </w:rPr>
        <w:t>בחקירה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sidRPr="00C90C20">
        <w:rPr>
          <w:rFonts w:ascii="Century" w:hAnsi="Century" w:cs="Miriam"/>
          <w:b/>
          <w:spacing w:val="0"/>
          <w:szCs w:val="24"/>
          <w:rtl/>
        </w:rPr>
        <w:t xml:space="preserve"> </w:t>
      </w:r>
      <w:r w:rsidRPr="00C90C20">
        <w:rPr>
          <w:rFonts w:ascii="Century" w:hAnsi="Century" w:cs="Miriam" w:hint="eastAsia"/>
          <w:b/>
          <w:spacing w:val="0"/>
          <w:szCs w:val="24"/>
          <w:rtl/>
        </w:rPr>
        <w:t>מהמקרה</w:t>
      </w:r>
      <w:r w:rsidRPr="00C90C20">
        <w:rPr>
          <w:rFonts w:ascii="Century" w:hAnsi="Century" w:cs="Miriam"/>
          <w:b/>
          <w:spacing w:val="0"/>
          <w:szCs w:val="24"/>
          <w:rtl/>
        </w:rPr>
        <w:t xml:space="preserve"> </w:t>
      </w:r>
      <w:r w:rsidRPr="00C90C20">
        <w:rPr>
          <w:rFonts w:ascii="Century" w:hAnsi="Century" w:cs="Miriam" w:hint="eastAsia"/>
          <w:b/>
          <w:spacing w:val="0"/>
          <w:szCs w:val="24"/>
          <w:rtl/>
        </w:rPr>
        <w:t>שבו</w:t>
      </w:r>
      <w:r w:rsidRPr="00C90C20">
        <w:rPr>
          <w:rFonts w:ascii="Century" w:hAnsi="Century" w:cs="Miriam"/>
          <w:b/>
          <w:spacing w:val="0"/>
          <w:szCs w:val="24"/>
          <w:rtl/>
        </w:rPr>
        <w:t xml:space="preserve"> </w:t>
      </w:r>
      <w:r w:rsidRPr="00C90C20">
        <w:rPr>
          <w:rFonts w:ascii="Century" w:hAnsi="Century" w:cs="Miriam" w:hint="eastAsia"/>
          <w:b/>
          <w:spacing w:val="0"/>
          <w:szCs w:val="24"/>
          <w:rtl/>
        </w:rPr>
        <w:t>עוסקת</w:t>
      </w:r>
      <w:r w:rsidRPr="00C90C20">
        <w:rPr>
          <w:rFonts w:ascii="Century" w:hAnsi="Century" w:cs="Miriam"/>
          <w:b/>
          <w:spacing w:val="0"/>
          <w:szCs w:val="24"/>
          <w:rtl/>
        </w:rPr>
        <w:t xml:space="preserve"> </w:t>
      </w:r>
      <w:r w:rsidRPr="00C90C20">
        <w:rPr>
          <w:rFonts w:ascii="Century" w:hAnsi="Century" w:cs="Miriam" w:hint="eastAsia"/>
          <w:b/>
          <w:spacing w:val="0"/>
          <w:szCs w:val="24"/>
          <w:rtl/>
        </w:rPr>
        <w:t>העתירה</w:t>
      </w:r>
      <w:r w:rsidRPr="00C90C20">
        <w:rPr>
          <w:rFonts w:ascii="Century" w:hAnsi="Century" w:cs="Miriam"/>
          <w:b/>
          <w:spacing w:val="0"/>
          <w:szCs w:val="24"/>
          <w:rtl/>
        </w:rPr>
        <w:t xml:space="preserve"> </w:t>
      </w:r>
      <w:r w:rsidRPr="00C90C20">
        <w:rPr>
          <w:rFonts w:ascii="Century" w:hAnsi="Century" w:cs="Miriam" w:hint="eastAsia"/>
          <w:b/>
          <w:spacing w:val="0"/>
          <w:szCs w:val="24"/>
          <w:rtl/>
        </w:rPr>
        <w:t>שבכותרת</w:t>
      </w:r>
      <w:r>
        <w:rPr>
          <w:rFonts w:hint="cs"/>
          <w:rtl/>
        </w:rPr>
        <w:t>". זאת, משום שלטענת העותר בנסיבות העניין "</w:t>
      </w:r>
      <w:r w:rsidRPr="00C90C20">
        <w:rPr>
          <w:rFonts w:ascii="Century" w:hAnsi="Century" w:cs="Miriam" w:hint="eastAsia"/>
          <w:b/>
          <w:spacing w:val="0"/>
          <w:szCs w:val="24"/>
          <w:rtl/>
        </w:rPr>
        <w:t>האפשרות</w:t>
      </w:r>
      <w:r w:rsidRPr="00C90C20">
        <w:rPr>
          <w:rFonts w:ascii="Century" w:hAnsi="Century" w:cs="Miriam"/>
          <w:b/>
          <w:spacing w:val="0"/>
          <w:szCs w:val="24"/>
          <w:rtl/>
        </w:rPr>
        <w:t xml:space="preserve"> </w:t>
      </w:r>
      <w:r w:rsidRPr="00C90C20">
        <w:rPr>
          <w:rFonts w:ascii="Century" w:hAnsi="Century" w:cs="Miriam" w:hint="eastAsia"/>
          <w:b/>
          <w:spacing w:val="0"/>
          <w:szCs w:val="24"/>
          <w:rtl/>
        </w:rPr>
        <w:t>הסבירה</w:t>
      </w:r>
      <w:r w:rsidRPr="00C90C20">
        <w:rPr>
          <w:rFonts w:ascii="Century" w:hAnsi="Century" w:cs="Miriam"/>
          <w:b/>
          <w:spacing w:val="0"/>
          <w:szCs w:val="24"/>
          <w:rtl/>
        </w:rPr>
        <w:t xml:space="preserve"> </w:t>
      </w:r>
      <w:r w:rsidRPr="00C90C20">
        <w:rPr>
          <w:rFonts w:ascii="Century" w:hAnsi="Century" w:cs="Miriam" w:hint="eastAsia"/>
          <w:b/>
          <w:spacing w:val="0"/>
          <w:szCs w:val="24"/>
          <w:rtl/>
        </w:rPr>
        <w:t>היחידה</w:t>
      </w:r>
      <w:r w:rsidRPr="00C90C20">
        <w:rPr>
          <w:rFonts w:ascii="Century" w:hAnsi="Century" w:cs="Miriam"/>
          <w:b/>
          <w:spacing w:val="0"/>
          <w:szCs w:val="24"/>
          <w:rtl/>
        </w:rPr>
        <w:t xml:space="preserve"> </w:t>
      </w:r>
      <w:r w:rsidRPr="00C90C20">
        <w:rPr>
          <w:rFonts w:ascii="Century" w:hAnsi="Century" w:cs="Miriam" w:hint="eastAsia"/>
          <w:b/>
          <w:spacing w:val="0"/>
          <w:szCs w:val="24"/>
          <w:rtl/>
        </w:rPr>
        <w:t>היא</w:t>
      </w:r>
      <w:r w:rsidRPr="00C90C20">
        <w:rPr>
          <w:rFonts w:ascii="Century" w:hAnsi="Century" w:cs="Miriam"/>
          <w:b/>
          <w:spacing w:val="0"/>
          <w:szCs w:val="24"/>
          <w:rtl/>
        </w:rPr>
        <w:t xml:space="preserve"> </w:t>
      </w:r>
      <w:r w:rsidRPr="00C90C20">
        <w:rPr>
          <w:rFonts w:ascii="Century" w:hAnsi="Century" w:cs="Miriam" w:hint="eastAsia"/>
          <w:b/>
          <w:spacing w:val="0"/>
          <w:szCs w:val="24"/>
          <w:rtl/>
        </w:rPr>
        <w:t>כי</w:t>
      </w:r>
      <w:r w:rsidRPr="00C90C20">
        <w:rPr>
          <w:rFonts w:ascii="Century" w:hAnsi="Century" w:cs="Miriam"/>
          <w:b/>
          <w:spacing w:val="0"/>
          <w:szCs w:val="24"/>
          <w:rtl/>
        </w:rPr>
        <w:t xml:space="preserve"> </w:t>
      </w:r>
      <w:r w:rsidRPr="00C90C20">
        <w:rPr>
          <w:rFonts w:ascii="Century" w:hAnsi="Century" w:cs="Miriam" w:hint="eastAsia"/>
          <w:b/>
          <w:spacing w:val="0"/>
          <w:szCs w:val="24"/>
          <w:rtl/>
        </w:rPr>
        <w:t>החשבונית</w:t>
      </w:r>
      <w:r w:rsidRPr="00C90C20">
        <w:rPr>
          <w:rFonts w:ascii="Century" w:hAnsi="Century" w:cs="Miriam"/>
          <w:b/>
          <w:spacing w:val="0"/>
          <w:szCs w:val="24"/>
          <w:rtl/>
        </w:rPr>
        <w:t xml:space="preserve"> </w:t>
      </w:r>
      <w:r w:rsidRPr="00C90C20">
        <w:rPr>
          <w:rFonts w:ascii="Century" w:hAnsi="Century" w:cs="Miriam" w:hint="eastAsia"/>
          <w:b/>
          <w:spacing w:val="0"/>
          <w:szCs w:val="24"/>
          <w:rtl/>
        </w:rPr>
        <w:t>הודלפה</w:t>
      </w:r>
      <w:r w:rsidRPr="00C90C20">
        <w:rPr>
          <w:rFonts w:ascii="Century" w:hAnsi="Century" w:cs="Miriam"/>
          <w:b/>
          <w:spacing w:val="0"/>
          <w:szCs w:val="24"/>
          <w:rtl/>
        </w:rPr>
        <w:t xml:space="preserve"> </w:t>
      </w:r>
      <w:r w:rsidRPr="00C90C20">
        <w:rPr>
          <w:rFonts w:ascii="Century" w:hAnsi="Century" w:cs="Miriam" w:hint="eastAsia"/>
          <w:b/>
          <w:spacing w:val="0"/>
          <w:szCs w:val="24"/>
          <w:rtl/>
        </w:rPr>
        <w:t>מתוך</w:t>
      </w:r>
      <w:r w:rsidRPr="00C90C20">
        <w:rPr>
          <w:rFonts w:ascii="Century" w:hAnsi="Century" w:cs="Miriam"/>
          <w:b/>
          <w:spacing w:val="0"/>
          <w:szCs w:val="24"/>
          <w:rtl/>
        </w:rPr>
        <w:t xml:space="preserve"> </w:t>
      </w:r>
      <w:r w:rsidRPr="00C90C20">
        <w:rPr>
          <w:rFonts w:ascii="Century" w:hAnsi="Century" w:cs="Miriam" w:hint="eastAsia"/>
          <w:b/>
          <w:spacing w:val="0"/>
          <w:szCs w:val="24"/>
          <w:rtl/>
        </w:rPr>
        <w:t>חומרי</w:t>
      </w:r>
      <w:r w:rsidRPr="00C90C20">
        <w:rPr>
          <w:rFonts w:ascii="Century" w:hAnsi="Century" w:cs="Miriam"/>
          <w:b/>
          <w:spacing w:val="0"/>
          <w:szCs w:val="24"/>
          <w:rtl/>
        </w:rPr>
        <w:t xml:space="preserve"> </w:t>
      </w:r>
      <w:r w:rsidRPr="00C90C20">
        <w:rPr>
          <w:rFonts w:ascii="Century" w:hAnsi="Century" w:cs="Miriam" w:hint="eastAsia"/>
          <w:b/>
          <w:spacing w:val="0"/>
          <w:szCs w:val="24"/>
          <w:rtl/>
        </w:rPr>
        <w:t>החקירה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ושיש</w:t>
      </w:r>
      <w:r w:rsidRPr="00C90C20">
        <w:rPr>
          <w:rFonts w:ascii="Century" w:hAnsi="Century" w:cs="Miriam"/>
          <w:b/>
          <w:spacing w:val="0"/>
          <w:szCs w:val="24"/>
          <w:rtl/>
        </w:rPr>
        <w:t xml:space="preserve"> </w:t>
      </w:r>
      <w:r w:rsidRPr="00C90C20">
        <w:rPr>
          <w:rFonts w:ascii="Century" w:hAnsi="Century" w:cs="Miriam" w:hint="eastAsia"/>
          <w:b/>
          <w:spacing w:val="0"/>
          <w:szCs w:val="24"/>
          <w:rtl/>
        </w:rPr>
        <w:t>חשד</w:t>
      </w:r>
      <w:r w:rsidRPr="00C90C20">
        <w:rPr>
          <w:rFonts w:ascii="Century" w:hAnsi="Century" w:cs="Miriam"/>
          <w:b/>
          <w:spacing w:val="0"/>
          <w:szCs w:val="24"/>
          <w:rtl/>
        </w:rPr>
        <w:t xml:space="preserve"> </w:t>
      </w:r>
      <w:r w:rsidRPr="00C90C20">
        <w:rPr>
          <w:rFonts w:ascii="Century" w:hAnsi="Century" w:cs="Miriam" w:hint="eastAsia"/>
          <w:b/>
          <w:spacing w:val="0"/>
          <w:szCs w:val="24"/>
          <w:rtl/>
        </w:rPr>
        <w:t>מבוסס</w:t>
      </w:r>
      <w:r w:rsidRPr="00C90C20">
        <w:rPr>
          <w:rFonts w:ascii="Century" w:hAnsi="Century" w:cs="Miriam"/>
          <w:b/>
          <w:spacing w:val="0"/>
          <w:szCs w:val="24"/>
          <w:rtl/>
        </w:rPr>
        <w:t xml:space="preserve"> </w:t>
      </w:r>
      <w:r w:rsidRPr="00C90C20">
        <w:rPr>
          <w:rFonts w:ascii="Century" w:hAnsi="Century" w:cs="Miriam" w:hint="eastAsia"/>
          <w:b/>
          <w:spacing w:val="0"/>
          <w:szCs w:val="24"/>
          <w:rtl/>
        </w:rPr>
        <w:t>לביצוע</w:t>
      </w:r>
      <w:r w:rsidRPr="00C90C20">
        <w:rPr>
          <w:rFonts w:ascii="Century" w:hAnsi="Century" w:cs="Miriam"/>
          <w:b/>
          <w:spacing w:val="0"/>
          <w:szCs w:val="24"/>
          <w:rtl/>
        </w:rPr>
        <w:t xml:space="preserve"> </w:t>
      </w:r>
      <w:r w:rsidRPr="00C90C20">
        <w:rPr>
          <w:rFonts w:ascii="Century" w:hAnsi="Century" w:cs="Miriam" w:hint="eastAsia"/>
          <w:b/>
          <w:spacing w:val="0"/>
          <w:szCs w:val="24"/>
          <w:rtl/>
        </w:rPr>
        <w:t>עבירה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Pr>
          <w:rFonts w:hint="cs"/>
          <w:rtl/>
        </w:rPr>
        <w:t>". את עמדתו זו ביסס העותר על תזמון ההדלפה, שאירעה טרם קיבלה ההגנה לידיה את חומר החקירה; וכן על הכיתוב "</w:t>
      </w:r>
      <w:r w:rsidRPr="00C90C20">
        <w:rPr>
          <w:rFonts w:ascii="Century" w:hAnsi="Century" w:cs="Miriam"/>
          <w:bCs/>
          <w:spacing w:val="0"/>
          <w:szCs w:val="24"/>
        </w:rPr>
        <w:t>Guest gift</w:t>
      </w:r>
      <w:r>
        <w:rPr>
          <w:rFonts w:hint="cs"/>
          <w:rtl/>
        </w:rPr>
        <w:t>" שנכתב בכתב יד בראש החשבונית שמסרה הגב' קליין למשטרה, ואשר הופיע גם בהעתק של החשבונית שפורסם בתקשורת. בנוסף נטען, כי תזת העותר מקבלת משנה תוקף לאור העובדה שגב' קליין הבהירה, כי היא "</w:t>
      </w:r>
      <w:r w:rsidRPr="00C90C20">
        <w:rPr>
          <w:rFonts w:ascii="Century" w:hAnsi="Century" w:cs="Miriam" w:hint="eastAsia"/>
          <w:b/>
          <w:spacing w:val="0"/>
          <w:szCs w:val="24"/>
          <w:rtl/>
        </w:rPr>
        <w:t>שמרה</w:t>
      </w:r>
      <w:r w:rsidRPr="00C90C20">
        <w:rPr>
          <w:rFonts w:ascii="Century" w:hAnsi="Century" w:cs="Miriam"/>
          <w:b/>
          <w:spacing w:val="0"/>
          <w:szCs w:val="24"/>
          <w:rtl/>
        </w:rPr>
        <w:t xml:space="preserve"> </w:t>
      </w:r>
      <w:r w:rsidRPr="00C90C20">
        <w:rPr>
          <w:rFonts w:ascii="Century" w:hAnsi="Century" w:cs="Miriam" w:hint="eastAsia"/>
          <w:b/>
          <w:spacing w:val="0"/>
          <w:szCs w:val="24"/>
          <w:rtl/>
        </w:rPr>
        <w:t>את</w:t>
      </w:r>
      <w:r w:rsidRPr="00C90C20">
        <w:rPr>
          <w:rFonts w:ascii="Century" w:hAnsi="Century" w:cs="Miriam"/>
          <w:b/>
          <w:spacing w:val="0"/>
          <w:szCs w:val="24"/>
          <w:rtl/>
        </w:rPr>
        <w:t xml:space="preserve"> </w:t>
      </w:r>
      <w:r w:rsidRPr="00C90C20">
        <w:rPr>
          <w:rFonts w:ascii="Century" w:hAnsi="Century" w:cs="Miriam" w:hint="eastAsia"/>
          <w:b/>
          <w:spacing w:val="0"/>
          <w:szCs w:val="24"/>
          <w:rtl/>
        </w:rPr>
        <w:t>החשבונית</w:t>
      </w:r>
      <w:r w:rsidRPr="00C90C20">
        <w:rPr>
          <w:rFonts w:ascii="Century" w:hAnsi="Century" w:cs="Miriam"/>
          <w:b/>
          <w:spacing w:val="0"/>
          <w:szCs w:val="24"/>
          <w:rtl/>
        </w:rPr>
        <w:t xml:space="preserve"> </w:t>
      </w:r>
      <w:r w:rsidRPr="00C90C20">
        <w:rPr>
          <w:rFonts w:ascii="Century" w:hAnsi="Century" w:cs="Miriam" w:hint="eastAsia"/>
          <w:b/>
          <w:spacing w:val="0"/>
          <w:szCs w:val="24"/>
          <w:rtl/>
        </w:rPr>
        <w:t>במעטפה</w:t>
      </w:r>
      <w:r w:rsidRPr="00C90C20">
        <w:rPr>
          <w:rFonts w:ascii="Century" w:hAnsi="Century" w:cs="Miriam"/>
          <w:b/>
          <w:spacing w:val="0"/>
          <w:szCs w:val="24"/>
          <w:rtl/>
        </w:rPr>
        <w:t xml:space="preserve"> </w:t>
      </w:r>
      <w:r w:rsidRPr="00C90C20">
        <w:rPr>
          <w:rFonts w:ascii="Century" w:hAnsi="Century" w:cs="Miriam" w:hint="eastAsia"/>
          <w:b/>
          <w:spacing w:val="0"/>
          <w:szCs w:val="24"/>
          <w:rtl/>
        </w:rPr>
        <w:t>סגורה</w:t>
      </w:r>
      <w:r w:rsidRPr="00C90C20">
        <w:rPr>
          <w:rFonts w:ascii="Century" w:hAnsi="Century" w:cs="Miriam"/>
          <w:b/>
          <w:spacing w:val="0"/>
          <w:szCs w:val="24"/>
          <w:rtl/>
        </w:rPr>
        <w:t xml:space="preserve"> </w:t>
      </w:r>
      <w:r w:rsidRPr="00C90C20">
        <w:rPr>
          <w:rFonts w:ascii="Century" w:hAnsi="Century" w:cs="Miriam" w:hint="eastAsia"/>
          <w:b/>
          <w:spacing w:val="0"/>
          <w:szCs w:val="24"/>
          <w:rtl/>
        </w:rPr>
        <w:t>בתיק</w:t>
      </w:r>
      <w:r w:rsidRPr="00C90C20">
        <w:rPr>
          <w:rFonts w:ascii="Century" w:hAnsi="Century" w:cs="Miriam"/>
          <w:b/>
          <w:spacing w:val="0"/>
          <w:szCs w:val="24"/>
          <w:rtl/>
        </w:rPr>
        <w:t xml:space="preserve"> </w:t>
      </w:r>
      <w:r w:rsidRPr="00C90C20">
        <w:rPr>
          <w:rFonts w:ascii="Century" w:hAnsi="Century" w:cs="Miriam" w:hint="eastAsia"/>
          <w:b/>
          <w:spacing w:val="0"/>
          <w:szCs w:val="24"/>
          <w:rtl/>
        </w:rPr>
        <w:t>שהיה</w:t>
      </w:r>
      <w:r w:rsidRPr="00C90C20">
        <w:rPr>
          <w:rFonts w:ascii="Century" w:hAnsi="Century" w:cs="Miriam"/>
          <w:b/>
          <w:spacing w:val="0"/>
          <w:szCs w:val="24"/>
          <w:rtl/>
        </w:rPr>
        <w:t xml:space="preserve"> </w:t>
      </w:r>
      <w:r w:rsidRPr="00C90C20">
        <w:rPr>
          <w:rFonts w:ascii="Century" w:hAnsi="Century" w:cs="Miriam" w:hint="eastAsia"/>
          <w:b/>
          <w:spacing w:val="0"/>
          <w:szCs w:val="24"/>
          <w:rtl/>
        </w:rPr>
        <w:t>מונח</w:t>
      </w:r>
      <w:r w:rsidRPr="00C90C20">
        <w:rPr>
          <w:rFonts w:ascii="Century" w:hAnsi="Century" w:cs="Miriam"/>
          <w:b/>
          <w:spacing w:val="0"/>
          <w:szCs w:val="24"/>
          <w:rtl/>
        </w:rPr>
        <w:t xml:space="preserve"> </w:t>
      </w:r>
      <w:r w:rsidRPr="00C90C20">
        <w:rPr>
          <w:rFonts w:ascii="Century" w:hAnsi="Century" w:cs="Miriam" w:hint="eastAsia"/>
          <w:b/>
          <w:spacing w:val="0"/>
          <w:szCs w:val="24"/>
          <w:rtl/>
        </w:rPr>
        <w:t>אצלה</w:t>
      </w:r>
      <w:r w:rsidRPr="00C90C20">
        <w:rPr>
          <w:rFonts w:ascii="Century" w:hAnsi="Century" w:cs="Miriam"/>
          <w:b/>
          <w:spacing w:val="0"/>
          <w:szCs w:val="24"/>
          <w:rtl/>
        </w:rPr>
        <w:t xml:space="preserve"> </w:t>
      </w:r>
      <w:r w:rsidRPr="00C90C20">
        <w:rPr>
          <w:rFonts w:ascii="Century" w:hAnsi="Century" w:cs="Miriam" w:hint="eastAsia"/>
          <w:b/>
          <w:spacing w:val="0"/>
          <w:szCs w:val="24"/>
          <w:rtl/>
        </w:rPr>
        <w:t>בבית</w:t>
      </w:r>
      <w:r w:rsidRPr="00C90C20">
        <w:rPr>
          <w:rFonts w:ascii="Century" w:hAnsi="Century" w:cs="Miriam"/>
          <w:b/>
          <w:spacing w:val="0"/>
          <w:szCs w:val="24"/>
          <w:rtl/>
        </w:rPr>
        <w:t xml:space="preserve"> </w:t>
      </w:r>
      <w:r w:rsidRPr="00C90C20">
        <w:rPr>
          <w:rFonts w:ascii="Century" w:hAnsi="Century" w:cs="Miriam" w:hint="eastAsia"/>
          <w:b/>
          <w:spacing w:val="0"/>
          <w:szCs w:val="24"/>
          <w:rtl/>
        </w:rPr>
        <w:t>ללא</w:t>
      </w:r>
      <w:r w:rsidRPr="00C90C20">
        <w:rPr>
          <w:rFonts w:ascii="Century" w:hAnsi="Century" w:cs="Miriam"/>
          <w:b/>
          <w:spacing w:val="0"/>
          <w:szCs w:val="24"/>
          <w:rtl/>
        </w:rPr>
        <w:t xml:space="preserve"> </w:t>
      </w:r>
      <w:r w:rsidRPr="00C90C20">
        <w:rPr>
          <w:rFonts w:ascii="Century" w:hAnsi="Century" w:cs="Miriam" w:hint="eastAsia"/>
          <w:b/>
          <w:spacing w:val="0"/>
          <w:szCs w:val="24"/>
          <w:rtl/>
        </w:rPr>
        <w:t>שימוש</w:t>
      </w:r>
      <w:r w:rsidRPr="00C90C20">
        <w:rPr>
          <w:rFonts w:ascii="Century" w:hAnsi="Century" w:cs="Miriam"/>
          <w:b/>
          <w:spacing w:val="0"/>
          <w:szCs w:val="24"/>
          <w:rtl/>
        </w:rPr>
        <w:t xml:space="preserve"> </w:t>
      </w:r>
      <w:r w:rsidRPr="00C90C20">
        <w:rPr>
          <w:rFonts w:ascii="Century" w:hAnsi="Century" w:cs="Miriam" w:hint="eastAsia"/>
          <w:b/>
          <w:spacing w:val="0"/>
          <w:szCs w:val="24"/>
          <w:rtl/>
        </w:rPr>
        <w:t>במשך</w:t>
      </w:r>
      <w:r w:rsidRPr="00C90C20">
        <w:rPr>
          <w:rFonts w:ascii="Century" w:hAnsi="Century" w:cs="Miriam"/>
          <w:b/>
          <w:spacing w:val="0"/>
          <w:szCs w:val="24"/>
          <w:rtl/>
        </w:rPr>
        <w:t xml:space="preserve"> </w:t>
      </w:r>
      <w:r w:rsidRPr="00C90C20">
        <w:rPr>
          <w:rFonts w:ascii="Century" w:hAnsi="Century" w:cs="Miriam" w:hint="eastAsia"/>
          <w:b/>
          <w:spacing w:val="0"/>
          <w:szCs w:val="24"/>
          <w:rtl/>
        </w:rPr>
        <w:t>שש</w:t>
      </w:r>
      <w:r w:rsidRPr="00C90C20">
        <w:rPr>
          <w:rFonts w:ascii="Century" w:hAnsi="Century" w:cs="Miriam"/>
          <w:b/>
          <w:spacing w:val="0"/>
          <w:szCs w:val="24"/>
          <w:rtl/>
        </w:rPr>
        <w:t xml:space="preserve"> </w:t>
      </w:r>
      <w:r w:rsidRPr="00C90C20">
        <w:rPr>
          <w:rFonts w:ascii="Century" w:hAnsi="Century" w:cs="Miriam" w:hint="eastAsia"/>
          <w:b/>
          <w:spacing w:val="0"/>
          <w:szCs w:val="24"/>
          <w:rtl/>
        </w:rPr>
        <w:t>שנים</w:t>
      </w:r>
      <w:r>
        <w:rPr>
          <w:rFonts w:hint="cs"/>
          <w:rtl/>
        </w:rPr>
        <w:t xml:space="preserve">", כעולה מתמלול חקירותיה במסגרת השלמת החקירה, מימים 24.10.2021 ו-15.11.2021, ומחקירתה הנגדית במסגרת ההליך העיקרי. זאת ועוד נטען, כי העתק החשבונית שפורסם נערך כך שנחתך ממנו החלק העליון שכלל את סימון המשטרה על-גבי החשבונית, וזאת כדי לא לחשוף את העובדה שמקורו מתיק החקירה. </w:t>
      </w:r>
    </w:p>
    <w:p w:rsidR="00DB6151" w:rsidRDefault="00DB6151" w:rsidP="00DB6151">
      <w:pPr>
        <w:pStyle w:val="Ruller41"/>
        <w:overflowPunct/>
        <w:autoSpaceDE/>
        <w:autoSpaceDN/>
        <w:adjustRightInd/>
        <w:spacing w:before="240" w:after="240"/>
        <w:textAlignment w:val="auto"/>
      </w:pPr>
      <w:r>
        <w:rPr>
          <w:rtl/>
        </w:rPr>
        <w:tab/>
      </w:r>
      <w:r>
        <w:rPr>
          <w:rFonts w:hint="cs"/>
          <w:rtl/>
        </w:rPr>
        <w:t xml:space="preserve">בהינתן האמור ובצירוף ממצאי הבדיקה שערכה היועצת, כעולה מהחלטתה, טען העותר כי במקרה זה ישנה קבוצה מצומצמת וברורה של כ-35 עובדי ציבור, שהם ורק הם יכלו להדליף את החשבונית וברי כי חולש עליהם האיסור הפלילי הקבוע בסעיף 117 לחוק </w:t>
      </w:r>
      <w:r w:rsidRPr="00760FA4">
        <w:rPr>
          <w:rFonts w:hint="cs"/>
          <w:rtl/>
        </w:rPr>
        <w:t>העונשין.</w:t>
      </w:r>
      <w:r w:rsidRPr="008A1FA6">
        <w:rPr>
          <w:rFonts w:hint="cs"/>
          <w:rtl/>
        </w:rPr>
        <w:t xml:space="preserve"> </w:t>
      </w:r>
      <w:r w:rsidRPr="00760FA4">
        <w:rPr>
          <w:rFonts w:hint="eastAsia"/>
          <w:rtl/>
        </w:rPr>
        <w:t>בהקשר</w:t>
      </w:r>
      <w:r w:rsidRPr="00760FA4">
        <w:rPr>
          <w:rtl/>
        </w:rPr>
        <w:t xml:space="preserve"> </w:t>
      </w:r>
      <w:r w:rsidRPr="00760FA4">
        <w:rPr>
          <w:rFonts w:hint="eastAsia"/>
          <w:rtl/>
        </w:rPr>
        <w:t>אחרון</w:t>
      </w:r>
      <w:r w:rsidRPr="00760FA4">
        <w:rPr>
          <w:rtl/>
        </w:rPr>
        <w:t xml:space="preserve"> </w:t>
      </w:r>
      <w:r w:rsidRPr="00760FA4">
        <w:rPr>
          <w:rFonts w:hint="eastAsia"/>
          <w:rtl/>
        </w:rPr>
        <w:t>זה</w:t>
      </w:r>
      <w:r w:rsidRPr="00760FA4">
        <w:rPr>
          <w:rtl/>
        </w:rPr>
        <w:t xml:space="preserve"> נטען, כי בנסיבות כגון דא, אין </w:t>
      </w:r>
      <w:r w:rsidRPr="00760FA4">
        <w:rPr>
          <w:rFonts w:hint="eastAsia"/>
          <w:rtl/>
        </w:rPr>
        <w:t>לאפשר</w:t>
      </w:r>
      <w:r w:rsidRPr="00760FA4">
        <w:rPr>
          <w:rtl/>
        </w:rPr>
        <w:t xml:space="preserve"> </w:t>
      </w:r>
      <w:r w:rsidRPr="00760FA4">
        <w:rPr>
          <w:rFonts w:hint="eastAsia"/>
          <w:rtl/>
        </w:rPr>
        <w:t>לעובדי</w:t>
      </w:r>
      <w:r w:rsidRPr="00760FA4">
        <w:rPr>
          <w:rtl/>
        </w:rPr>
        <w:t xml:space="preserve"> </w:t>
      </w:r>
      <w:r w:rsidRPr="00760FA4">
        <w:rPr>
          <w:rFonts w:hint="eastAsia"/>
          <w:rtl/>
        </w:rPr>
        <w:t>ציבור</w:t>
      </w:r>
      <w:r w:rsidRPr="00760FA4">
        <w:rPr>
          <w:rtl/>
        </w:rPr>
        <w:t xml:space="preserve"> "</w:t>
      </w:r>
      <w:r w:rsidRPr="00C90C20">
        <w:rPr>
          <w:rFonts w:ascii="Century" w:hAnsi="Century" w:cs="Miriam" w:hint="eastAsia"/>
          <w:b/>
          <w:spacing w:val="0"/>
          <w:szCs w:val="24"/>
          <w:rtl/>
        </w:rPr>
        <w:t>להסתתר</w:t>
      </w:r>
      <w:r w:rsidRPr="00C90C20">
        <w:rPr>
          <w:rFonts w:ascii="Century" w:hAnsi="Century" w:cs="Miriam"/>
          <w:b/>
          <w:spacing w:val="0"/>
          <w:szCs w:val="24"/>
          <w:rtl/>
        </w:rPr>
        <w:t xml:space="preserve"> </w:t>
      </w:r>
      <w:r w:rsidRPr="00C90C20">
        <w:rPr>
          <w:rFonts w:ascii="Century" w:hAnsi="Century" w:cs="Miriam" w:hint="eastAsia"/>
          <w:b/>
          <w:spacing w:val="0"/>
          <w:szCs w:val="24"/>
          <w:rtl/>
        </w:rPr>
        <w:t>תחת</w:t>
      </w:r>
      <w:r w:rsidRPr="00C90C20">
        <w:rPr>
          <w:rFonts w:ascii="Century" w:hAnsi="Century" w:cs="Miriam"/>
          <w:b/>
          <w:spacing w:val="0"/>
          <w:szCs w:val="24"/>
          <w:rtl/>
        </w:rPr>
        <w:t xml:space="preserve"> </w:t>
      </w:r>
      <w:r w:rsidRPr="00C90C20">
        <w:rPr>
          <w:rFonts w:ascii="Century" w:hAnsi="Century" w:cs="Miriam" w:hint="eastAsia"/>
          <w:b/>
          <w:spacing w:val="0"/>
          <w:szCs w:val="24"/>
          <w:rtl/>
        </w:rPr>
        <w:t>טענה</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חיסיון</w:t>
      </w:r>
      <w:r w:rsidRPr="00C90C20">
        <w:rPr>
          <w:rFonts w:ascii="Century" w:hAnsi="Century" w:cs="Miriam"/>
          <w:b/>
          <w:spacing w:val="0"/>
          <w:szCs w:val="24"/>
          <w:rtl/>
        </w:rPr>
        <w:t xml:space="preserve"> </w:t>
      </w:r>
      <w:r w:rsidRPr="00C90C20">
        <w:rPr>
          <w:rFonts w:ascii="Century" w:hAnsi="Century" w:cs="Miriam" w:hint="eastAsia"/>
          <w:b/>
          <w:spacing w:val="0"/>
          <w:szCs w:val="24"/>
          <w:rtl/>
        </w:rPr>
        <w:t>מקור</w:t>
      </w:r>
      <w:r w:rsidRPr="00C90C20">
        <w:rPr>
          <w:rFonts w:ascii="Century" w:hAnsi="Century" w:cs="Miriam"/>
          <w:b/>
          <w:spacing w:val="0"/>
          <w:szCs w:val="24"/>
          <w:rtl/>
        </w:rPr>
        <w:t xml:space="preserve"> </w:t>
      </w:r>
      <w:r w:rsidRPr="00C90C20">
        <w:rPr>
          <w:rFonts w:ascii="Century" w:hAnsi="Century" w:cs="Miriam" w:hint="eastAsia"/>
          <w:b/>
          <w:spacing w:val="0"/>
          <w:szCs w:val="24"/>
          <w:rtl/>
        </w:rPr>
        <w:t>עיתונאי</w:t>
      </w:r>
      <w:r w:rsidRPr="00760FA4">
        <w:rPr>
          <w:rtl/>
        </w:rPr>
        <w:t>"</w:t>
      </w:r>
      <w:r w:rsidRPr="00760FA4">
        <w:rPr>
          <w:rFonts w:hint="cs"/>
          <w:rtl/>
        </w:rPr>
        <w:t>.</w:t>
      </w:r>
      <w:r w:rsidRPr="008A1FA6">
        <w:rPr>
          <w:rFonts w:hint="cs"/>
          <w:rtl/>
        </w:rPr>
        <w:t xml:space="preserve"> </w:t>
      </w:r>
      <w:r>
        <w:rPr>
          <w:rFonts w:hint="cs"/>
          <w:rtl/>
        </w:rPr>
        <w:t xml:space="preserve">לא זו אף זו, הוער, כי חקירות בהיקפים </w:t>
      </w:r>
      <w:r>
        <w:rPr>
          <w:rFonts w:hint="cs"/>
          <w:rtl/>
        </w:rPr>
        <w:lastRenderedPageBreak/>
        <w:t xml:space="preserve">מסוג זה מבוצעות כעניין של יום ביומו; כי קביעה גורפת שלפיה לא ניתן לחקור הדלפות ביחס לקבוצה בהיקף זה, תסתום את הגולל על חקירות ביחס להדלפות של מידע שאסור בגילוי מתוך חדרי חקירות; וכי מדובר בסטייה מאמת המידה שנקבעה בבג"ץ 3917/20 </w:t>
      </w:r>
      <w:proofErr w:type="spellStart"/>
      <w:r w:rsidRPr="00DD0815">
        <w:rPr>
          <w:rFonts w:ascii="Century" w:hAnsi="Century" w:cs="Miriam" w:hint="cs"/>
          <w:b/>
          <w:spacing w:val="0"/>
          <w:szCs w:val="24"/>
          <w:rtl/>
        </w:rPr>
        <w:t>אלוביץ</w:t>
      </w:r>
      <w:proofErr w:type="spellEnd"/>
      <w:r w:rsidRPr="00DD0815">
        <w:rPr>
          <w:rFonts w:ascii="Century" w:hAnsi="Century" w:cs="Miriam" w:hint="cs"/>
          <w:b/>
          <w:spacing w:val="0"/>
          <w:szCs w:val="24"/>
          <w:rtl/>
        </w:rPr>
        <w:t>' נ' היועץ המשפטי לממשלה ומ"מ פרקליט המדינה</w:t>
      </w:r>
      <w:r w:rsidRPr="00DD0815">
        <w:rPr>
          <w:rFonts w:hint="cs"/>
          <w:rtl/>
        </w:rPr>
        <w:t xml:space="preserve"> </w:t>
      </w:r>
      <w:r>
        <w:rPr>
          <w:rFonts w:hint="cs"/>
          <w:rtl/>
        </w:rPr>
        <w:t xml:space="preserve">(05.11.2020) (לעיל ולהלן: </w:t>
      </w:r>
      <w:r w:rsidRPr="00DD0815">
        <w:rPr>
          <w:rFonts w:ascii="Century" w:hAnsi="Century" w:cs="Miriam" w:hint="cs"/>
          <w:b/>
          <w:spacing w:val="0"/>
          <w:szCs w:val="24"/>
          <w:rtl/>
        </w:rPr>
        <w:t xml:space="preserve">עניין </w:t>
      </w:r>
      <w:proofErr w:type="spellStart"/>
      <w:r w:rsidRPr="00DD0815">
        <w:rPr>
          <w:rFonts w:ascii="Century" w:hAnsi="Century" w:cs="Miriam" w:hint="cs"/>
          <w:b/>
          <w:spacing w:val="0"/>
          <w:szCs w:val="24"/>
          <w:rtl/>
        </w:rPr>
        <w:t>אלוביץ</w:t>
      </w:r>
      <w:proofErr w:type="spellEnd"/>
      <w:r>
        <w:rPr>
          <w:rFonts w:hint="cs"/>
          <w:rtl/>
        </w:rPr>
        <w:t xml:space="preserve">') </w:t>
      </w:r>
      <w:r>
        <w:rPr>
          <w:rtl/>
        </w:rPr>
        <w:t>–</w:t>
      </w:r>
      <w:r>
        <w:rPr>
          <w:rFonts w:hint="cs"/>
          <w:rtl/>
        </w:rPr>
        <w:t xml:space="preserve"> שם דובר על קבוצה של כ-150 עובדי ציבור 'ברשימה המצומצמת', וכ-260 עובדי ציבור 'ברשימה המורחבת'. עוד נטען, כי ישנן פעולות חקירה ראשוניות שיכולות לצמצם, "</w:t>
      </w:r>
      <w:r w:rsidRPr="00C90C20">
        <w:rPr>
          <w:rFonts w:ascii="Century" w:hAnsi="Century" w:cs="Miriam" w:hint="eastAsia"/>
          <w:b/>
          <w:spacing w:val="0"/>
          <w:szCs w:val="24"/>
          <w:rtl/>
        </w:rPr>
        <w:t>בקלות</w:t>
      </w:r>
      <w:r w:rsidRPr="00C90C20">
        <w:rPr>
          <w:rFonts w:ascii="Century" w:hAnsi="Century" w:cs="Miriam"/>
          <w:b/>
          <w:spacing w:val="0"/>
          <w:szCs w:val="24"/>
          <w:rtl/>
        </w:rPr>
        <w:t xml:space="preserve"> </w:t>
      </w:r>
      <w:r w:rsidRPr="00C90C20">
        <w:rPr>
          <w:rFonts w:ascii="Century" w:hAnsi="Century" w:cs="Miriam" w:hint="eastAsia"/>
          <w:b/>
          <w:spacing w:val="0"/>
          <w:szCs w:val="24"/>
          <w:rtl/>
        </w:rPr>
        <w:t>יחסית</w:t>
      </w:r>
      <w:r>
        <w:rPr>
          <w:rFonts w:hint="cs"/>
          <w:rtl/>
        </w:rPr>
        <w:t xml:space="preserve">", את מעגל החשודים; וכי פתיחה בחקירה כאמור לא רק שלא תפגע בעובדי הציבור, כעמדת היועצת, אלא נהפוך הוא </w:t>
      </w:r>
      <w:r>
        <w:rPr>
          <w:rtl/>
        </w:rPr>
        <w:t>–</w:t>
      </w:r>
      <w:r>
        <w:rPr>
          <w:rFonts w:hint="cs"/>
          <w:rtl/>
        </w:rPr>
        <w:t xml:space="preserve"> היא "</w:t>
      </w:r>
      <w:r w:rsidRPr="00C90C20">
        <w:rPr>
          <w:rFonts w:ascii="Century" w:hAnsi="Century" w:cs="Miriam"/>
          <w:b/>
          <w:spacing w:val="0"/>
          <w:szCs w:val="24"/>
          <w:rtl/>
        </w:rPr>
        <w:t xml:space="preserve">'תנקה' </w:t>
      </w:r>
      <w:r w:rsidRPr="00C90C20">
        <w:rPr>
          <w:rFonts w:ascii="Century" w:hAnsi="Century" w:cs="Miriam" w:hint="eastAsia"/>
          <w:b/>
          <w:spacing w:val="0"/>
          <w:szCs w:val="24"/>
          <w:rtl/>
        </w:rPr>
        <w:t>את</w:t>
      </w:r>
      <w:r w:rsidRPr="00C90C20">
        <w:rPr>
          <w:rFonts w:ascii="Century" w:hAnsi="Century" w:cs="Miriam"/>
          <w:b/>
          <w:spacing w:val="0"/>
          <w:szCs w:val="24"/>
          <w:rtl/>
        </w:rPr>
        <w:t xml:space="preserve"> </w:t>
      </w:r>
      <w:r w:rsidRPr="00C90C20">
        <w:rPr>
          <w:rFonts w:ascii="Century" w:hAnsi="Century" w:cs="Miriam" w:hint="eastAsia"/>
          <w:b/>
          <w:spacing w:val="0"/>
          <w:szCs w:val="24"/>
          <w:rtl/>
        </w:rPr>
        <w:t>יתר</w:t>
      </w:r>
      <w:r w:rsidRPr="00C90C20">
        <w:rPr>
          <w:rFonts w:ascii="Century" w:hAnsi="Century" w:cs="Miriam"/>
          <w:b/>
          <w:spacing w:val="0"/>
          <w:szCs w:val="24"/>
          <w:rtl/>
        </w:rPr>
        <w:t xml:space="preserve"> </w:t>
      </w:r>
      <w:r w:rsidRPr="00C90C20">
        <w:rPr>
          <w:rFonts w:ascii="Century" w:hAnsi="Century" w:cs="Miriam" w:hint="eastAsia"/>
          <w:b/>
          <w:spacing w:val="0"/>
          <w:szCs w:val="24"/>
          <w:rtl/>
        </w:rPr>
        <w:t>עובדי</w:t>
      </w:r>
      <w:r w:rsidRPr="00C90C20">
        <w:rPr>
          <w:rFonts w:ascii="Century" w:hAnsi="Century" w:cs="Miriam"/>
          <w:b/>
          <w:spacing w:val="0"/>
          <w:szCs w:val="24"/>
          <w:rtl/>
        </w:rPr>
        <w:t xml:space="preserve"> </w:t>
      </w:r>
      <w:r w:rsidRPr="00C90C20">
        <w:rPr>
          <w:rFonts w:ascii="Century" w:hAnsi="Century" w:cs="Miriam" w:hint="eastAsia"/>
          <w:b/>
          <w:spacing w:val="0"/>
          <w:szCs w:val="24"/>
          <w:rtl/>
        </w:rPr>
        <w:t>הציבור</w:t>
      </w:r>
      <w:r w:rsidRPr="00C90C20">
        <w:rPr>
          <w:rFonts w:ascii="Century" w:hAnsi="Century" w:cs="Miriam"/>
          <w:b/>
          <w:spacing w:val="0"/>
          <w:szCs w:val="24"/>
          <w:rtl/>
        </w:rPr>
        <w:t xml:space="preserve"> </w:t>
      </w:r>
      <w:r w:rsidRPr="00C90C20">
        <w:rPr>
          <w:rFonts w:ascii="Century" w:hAnsi="Century" w:cs="Miriam" w:hint="eastAsia"/>
          <w:b/>
          <w:spacing w:val="0"/>
          <w:szCs w:val="24"/>
          <w:rtl/>
        </w:rPr>
        <w:t>אשר</w:t>
      </w:r>
      <w:r w:rsidRPr="00C90C20">
        <w:rPr>
          <w:rFonts w:ascii="Century" w:hAnsi="Century" w:cs="Miriam"/>
          <w:b/>
          <w:spacing w:val="0"/>
          <w:szCs w:val="24"/>
          <w:rtl/>
        </w:rPr>
        <w:t xml:space="preserve"> </w:t>
      </w:r>
      <w:r w:rsidRPr="00C90C20">
        <w:rPr>
          <w:rFonts w:ascii="Century" w:hAnsi="Century" w:cs="Miriam" w:hint="eastAsia"/>
          <w:b/>
          <w:spacing w:val="0"/>
          <w:szCs w:val="24"/>
          <w:rtl/>
        </w:rPr>
        <w:t>עננת</w:t>
      </w:r>
      <w:r w:rsidRPr="00C90C20">
        <w:rPr>
          <w:rFonts w:ascii="Century" w:hAnsi="Century" w:cs="Miriam"/>
          <w:b/>
          <w:spacing w:val="0"/>
          <w:szCs w:val="24"/>
          <w:rtl/>
        </w:rPr>
        <w:t xml:space="preserve"> </w:t>
      </w:r>
      <w:r w:rsidRPr="00C90C20">
        <w:rPr>
          <w:rFonts w:ascii="Century" w:hAnsi="Century" w:cs="Miriam" w:hint="eastAsia"/>
          <w:b/>
          <w:spacing w:val="0"/>
          <w:szCs w:val="24"/>
          <w:rtl/>
        </w:rPr>
        <w:t>ההדלפות</w:t>
      </w:r>
      <w:r w:rsidRPr="00C90C20">
        <w:rPr>
          <w:rFonts w:ascii="Century" w:hAnsi="Century" w:cs="Miriam"/>
          <w:b/>
          <w:spacing w:val="0"/>
          <w:szCs w:val="24"/>
          <w:rtl/>
        </w:rPr>
        <w:t xml:space="preserve"> </w:t>
      </w:r>
      <w:r w:rsidRPr="00C90C20">
        <w:rPr>
          <w:rFonts w:ascii="Century" w:hAnsi="Century" w:cs="Miriam" w:hint="eastAsia"/>
          <w:b/>
          <w:spacing w:val="0"/>
          <w:szCs w:val="24"/>
          <w:rtl/>
        </w:rPr>
        <w:t>דבקה</w:t>
      </w:r>
      <w:r w:rsidRPr="00C90C20">
        <w:rPr>
          <w:rFonts w:ascii="Century" w:hAnsi="Century" w:cs="Miriam"/>
          <w:b/>
          <w:spacing w:val="0"/>
          <w:szCs w:val="24"/>
          <w:rtl/>
        </w:rPr>
        <w:t xml:space="preserve"> </w:t>
      </w:r>
      <w:r w:rsidRPr="00C90C20">
        <w:rPr>
          <w:rFonts w:ascii="Century" w:hAnsi="Century" w:cs="Miriam" w:hint="eastAsia"/>
          <w:b/>
          <w:spacing w:val="0"/>
          <w:szCs w:val="24"/>
          <w:rtl/>
        </w:rPr>
        <w:t>בהם</w:t>
      </w:r>
      <w:r w:rsidRPr="00C90C20">
        <w:rPr>
          <w:rFonts w:ascii="Century" w:hAnsi="Century" w:cs="Miriam"/>
          <w:b/>
          <w:spacing w:val="0"/>
          <w:szCs w:val="24"/>
          <w:rtl/>
        </w:rPr>
        <w:t xml:space="preserve"> </w:t>
      </w:r>
      <w:r w:rsidRPr="00C90C20">
        <w:rPr>
          <w:rFonts w:ascii="Century" w:hAnsi="Century" w:cs="Miriam" w:hint="eastAsia"/>
          <w:b/>
          <w:spacing w:val="0"/>
          <w:szCs w:val="24"/>
          <w:rtl/>
        </w:rPr>
        <w:t>שלא</w:t>
      </w:r>
      <w:r w:rsidRPr="00C90C20">
        <w:rPr>
          <w:rFonts w:ascii="Century" w:hAnsi="Century" w:cs="Miriam"/>
          <w:b/>
          <w:spacing w:val="0"/>
          <w:szCs w:val="24"/>
          <w:rtl/>
        </w:rPr>
        <w:t xml:space="preserve"> </w:t>
      </w:r>
      <w:r w:rsidRPr="00C90C20">
        <w:rPr>
          <w:rFonts w:ascii="Century" w:hAnsi="Century" w:cs="Miriam" w:hint="eastAsia"/>
          <w:b/>
          <w:spacing w:val="0"/>
          <w:szCs w:val="24"/>
          <w:rtl/>
        </w:rPr>
        <w:t>באשמתם</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משתמו טיעוני העותר במישור תוחלת החקירה, שב ופנה, כבפתח עתירתו, למישור "</w:t>
      </w:r>
      <w:r w:rsidRPr="00C90C20">
        <w:rPr>
          <w:rFonts w:ascii="Century" w:hAnsi="Century" w:cs="Miriam" w:hint="eastAsia"/>
          <w:b/>
          <w:spacing w:val="0"/>
          <w:szCs w:val="24"/>
          <w:rtl/>
        </w:rPr>
        <w:t>הפגיעה</w:t>
      </w:r>
      <w:r w:rsidRPr="00C90C20">
        <w:rPr>
          <w:rFonts w:ascii="Century" w:hAnsi="Century" w:cs="Miriam"/>
          <w:b/>
          <w:spacing w:val="0"/>
          <w:szCs w:val="24"/>
          <w:rtl/>
        </w:rPr>
        <w:t xml:space="preserve"> </w:t>
      </w:r>
      <w:r w:rsidRPr="00C90C20">
        <w:rPr>
          <w:rFonts w:ascii="Century" w:hAnsi="Century" w:cs="Miriam" w:hint="eastAsia"/>
          <w:b/>
          <w:spacing w:val="0"/>
          <w:szCs w:val="24"/>
          <w:rtl/>
        </w:rPr>
        <w:t>או</w:t>
      </w:r>
      <w:r w:rsidRPr="00C90C20">
        <w:rPr>
          <w:rFonts w:ascii="Century" w:hAnsi="Century" w:cs="Miriam"/>
          <w:b/>
          <w:spacing w:val="0"/>
          <w:szCs w:val="24"/>
          <w:rtl/>
        </w:rPr>
        <w:t xml:space="preserve"> </w:t>
      </w:r>
      <w:r w:rsidRPr="00C90C20">
        <w:rPr>
          <w:rFonts w:ascii="Century" w:hAnsi="Century" w:cs="Miriam" w:hint="eastAsia"/>
          <w:b/>
          <w:spacing w:val="0"/>
          <w:szCs w:val="24"/>
          <w:rtl/>
        </w:rPr>
        <w:t>פוטנציאל</w:t>
      </w:r>
      <w:r w:rsidRPr="00C90C20">
        <w:rPr>
          <w:rFonts w:ascii="Century" w:hAnsi="Century" w:cs="Miriam"/>
          <w:b/>
          <w:spacing w:val="0"/>
          <w:szCs w:val="24"/>
          <w:rtl/>
        </w:rPr>
        <w:t xml:space="preserve"> </w:t>
      </w:r>
      <w:r w:rsidRPr="00C90C20">
        <w:rPr>
          <w:rFonts w:ascii="Century" w:hAnsi="Century" w:cs="Miriam" w:hint="eastAsia"/>
          <w:b/>
          <w:spacing w:val="0"/>
          <w:szCs w:val="24"/>
          <w:rtl/>
        </w:rPr>
        <w:t>הפגיעה</w:t>
      </w:r>
      <w:r>
        <w:rPr>
          <w:rFonts w:hint="cs"/>
          <w:rtl/>
        </w:rPr>
        <w:t>" באינטרסים כתוצאה מגילויו של המידע האסור בגילוי. בהקשר זה נטען, כי עמדת היועצת "</w:t>
      </w:r>
      <w:r w:rsidRPr="00C90C20">
        <w:rPr>
          <w:rFonts w:ascii="Century" w:hAnsi="Century" w:cs="Miriam" w:hint="eastAsia"/>
          <w:b/>
          <w:spacing w:val="0"/>
          <w:szCs w:val="24"/>
          <w:rtl/>
        </w:rPr>
        <w:t>לא</w:t>
      </w:r>
      <w:r w:rsidRPr="00C90C20">
        <w:rPr>
          <w:rFonts w:ascii="Century" w:hAnsi="Century" w:cs="Miriam"/>
          <w:b/>
          <w:spacing w:val="0"/>
          <w:szCs w:val="24"/>
          <w:rtl/>
        </w:rPr>
        <w:t xml:space="preserve"> </w:t>
      </w:r>
      <w:r w:rsidRPr="00C90C20">
        <w:rPr>
          <w:rFonts w:ascii="Century" w:hAnsi="Century" w:cs="Miriam" w:hint="eastAsia"/>
          <w:b/>
          <w:spacing w:val="0"/>
          <w:szCs w:val="24"/>
          <w:rtl/>
        </w:rPr>
        <w:t>עולה</w:t>
      </w:r>
      <w:r w:rsidRPr="00C90C20">
        <w:rPr>
          <w:rFonts w:ascii="Century" w:hAnsi="Century" w:cs="Miriam"/>
          <w:b/>
          <w:spacing w:val="0"/>
          <w:szCs w:val="24"/>
          <w:rtl/>
        </w:rPr>
        <w:t xml:space="preserve"> </w:t>
      </w:r>
      <w:r w:rsidRPr="00C90C20">
        <w:rPr>
          <w:rFonts w:ascii="Century" w:hAnsi="Century" w:cs="Miriam" w:hint="eastAsia"/>
          <w:b/>
          <w:spacing w:val="0"/>
          <w:szCs w:val="24"/>
          <w:rtl/>
        </w:rPr>
        <w:t>בקנה</w:t>
      </w:r>
      <w:r w:rsidRPr="00C90C20">
        <w:rPr>
          <w:rFonts w:ascii="Century" w:hAnsi="Century" w:cs="Miriam"/>
          <w:b/>
          <w:spacing w:val="0"/>
          <w:szCs w:val="24"/>
          <w:rtl/>
        </w:rPr>
        <w:t xml:space="preserve"> </w:t>
      </w:r>
      <w:r w:rsidRPr="00C90C20">
        <w:rPr>
          <w:rFonts w:ascii="Century" w:hAnsi="Century" w:cs="Miriam" w:hint="eastAsia"/>
          <w:b/>
          <w:spacing w:val="0"/>
          <w:szCs w:val="24"/>
          <w:rtl/>
        </w:rPr>
        <w:t>אחד</w:t>
      </w:r>
      <w:r>
        <w:rPr>
          <w:rFonts w:hint="cs"/>
          <w:rtl/>
        </w:rPr>
        <w:t xml:space="preserve">" עם פסיקת בית משפט זה לרבות בעניין </w:t>
      </w:r>
      <w:proofErr w:type="spellStart"/>
      <w:r w:rsidRPr="00A04D32">
        <w:rPr>
          <w:rFonts w:ascii="Century" w:hAnsi="Century" w:cs="Miriam" w:hint="cs"/>
          <w:b/>
          <w:spacing w:val="0"/>
          <w:szCs w:val="24"/>
          <w:rtl/>
        </w:rPr>
        <w:t>אלוביץ</w:t>
      </w:r>
      <w:proofErr w:type="spellEnd"/>
      <w:r w:rsidRPr="00A04D32">
        <w:rPr>
          <w:rFonts w:ascii="Century" w:hAnsi="Century" w:cs="Miriam" w:hint="cs"/>
          <w:b/>
          <w:spacing w:val="0"/>
          <w:szCs w:val="24"/>
          <w:rtl/>
        </w:rPr>
        <w:t>'</w:t>
      </w:r>
      <w:r w:rsidRPr="00A04D32">
        <w:rPr>
          <w:rFonts w:hint="cs"/>
          <w:rtl/>
        </w:rPr>
        <w:t xml:space="preserve"> </w:t>
      </w:r>
      <w:r>
        <w:rPr>
          <w:rFonts w:hint="cs"/>
          <w:rtl/>
        </w:rPr>
        <w:t xml:space="preserve">ובבג"ץ 1736/10 </w:t>
      </w:r>
      <w:r w:rsidRPr="00620867">
        <w:rPr>
          <w:rFonts w:ascii="Century" w:hAnsi="Century" w:cs="Miriam" w:hint="cs"/>
          <w:b/>
          <w:spacing w:val="0"/>
          <w:szCs w:val="24"/>
          <w:rtl/>
        </w:rPr>
        <w:t>ליברמן נ' מנהל המחלקה לחקירות שוטרים</w:t>
      </w:r>
      <w:r w:rsidRPr="00620867">
        <w:rPr>
          <w:rFonts w:hint="cs"/>
          <w:rtl/>
        </w:rPr>
        <w:t xml:space="preserve"> </w:t>
      </w:r>
      <w:r>
        <w:rPr>
          <w:rFonts w:hint="cs"/>
          <w:rtl/>
        </w:rPr>
        <w:t xml:space="preserve">(02.10.2011) (להלן: </w:t>
      </w:r>
      <w:r w:rsidRPr="00620867">
        <w:rPr>
          <w:rFonts w:ascii="Century" w:hAnsi="Century" w:cs="Miriam" w:hint="cs"/>
          <w:b/>
          <w:spacing w:val="0"/>
          <w:szCs w:val="24"/>
          <w:rtl/>
        </w:rPr>
        <w:t>עניין ליברמן</w:t>
      </w:r>
      <w:r>
        <w:rPr>
          <w:rFonts w:hint="cs"/>
          <w:rtl/>
        </w:rPr>
        <w:t>); כי מוטלת על הרשויות חובה לחקור את ביצועה של עבירה פלילית לפי סעיף 59 לחוק סדר הדין הפלילי, התשמ"ב-1982, לבטח "</w:t>
      </w:r>
      <w:r w:rsidRPr="00C90C20">
        <w:rPr>
          <w:rFonts w:ascii="Century" w:hAnsi="Century" w:cs="Miriam" w:hint="eastAsia"/>
          <w:b/>
          <w:spacing w:val="0"/>
          <w:szCs w:val="24"/>
          <w:rtl/>
        </w:rPr>
        <w:t>משעה</w:t>
      </w:r>
      <w:r w:rsidRPr="00C90C20">
        <w:rPr>
          <w:rFonts w:ascii="Century" w:hAnsi="Century" w:cs="Miriam"/>
          <w:b/>
          <w:spacing w:val="0"/>
          <w:szCs w:val="24"/>
          <w:rtl/>
        </w:rPr>
        <w:t xml:space="preserve"> </w:t>
      </w:r>
      <w:r w:rsidRPr="00C90C20">
        <w:rPr>
          <w:rFonts w:ascii="Century" w:hAnsi="Century" w:cs="Miriam" w:hint="eastAsia"/>
          <w:b/>
          <w:spacing w:val="0"/>
          <w:szCs w:val="24"/>
          <w:rtl/>
        </w:rPr>
        <w:t>שהבהרנו</w:t>
      </w:r>
      <w:r w:rsidRPr="00C90C20">
        <w:rPr>
          <w:rFonts w:ascii="Century" w:hAnsi="Century" w:cs="Miriam"/>
          <w:b/>
          <w:spacing w:val="0"/>
          <w:szCs w:val="24"/>
          <w:rtl/>
        </w:rPr>
        <w:t xml:space="preserve"> </w:t>
      </w:r>
      <w:r w:rsidRPr="00C90C20">
        <w:rPr>
          <w:rFonts w:ascii="Century" w:hAnsi="Century" w:cs="Miriam" w:hint="eastAsia"/>
          <w:b/>
          <w:spacing w:val="0"/>
          <w:szCs w:val="24"/>
          <w:rtl/>
        </w:rPr>
        <w:t>כי</w:t>
      </w:r>
      <w:r w:rsidRPr="00C90C20">
        <w:rPr>
          <w:rFonts w:ascii="Century" w:hAnsi="Century" w:cs="Miriam"/>
          <w:b/>
          <w:spacing w:val="0"/>
          <w:szCs w:val="24"/>
          <w:rtl/>
        </w:rPr>
        <w:t xml:space="preserve"> </w:t>
      </w:r>
      <w:r w:rsidRPr="00C90C20">
        <w:rPr>
          <w:rFonts w:ascii="Century" w:hAnsi="Century" w:cs="Miriam" w:hint="eastAsia"/>
          <w:b/>
          <w:spacing w:val="0"/>
          <w:szCs w:val="24"/>
          <w:rtl/>
        </w:rPr>
        <w:t>הדלפת</w:t>
      </w:r>
      <w:r w:rsidRPr="00C90C20">
        <w:rPr>
          <w:rFonts w:ascii="Century" w:hAnsi="Century" w:cs="Miriam"/>
          <w:b/>
          <w:spacing w:val="0"/>
          <w:szCs w:val="24"/>
          <w:rtl/>
        </w:rPr>
        <w:t xml:space="preserve"> </w:t>
      </w:r>
      <w:r w:rsidRPr="00C90C20">
        <w:rPr>
          <w:rFonts w:ascii="Century" w:hAnsi="Century" w:cs="Miriam" w:hint="eastAsia"/>
          <w:b/>
          <w:spacing w:val="0"/>
          <w:szCs w:val="24"/>
          <w:rtl/>
        </w:rPr>
        <w:t>החשבונית</w:t>
      </w:r>
      <w:r w:rsidRPr="00C90C20">
        <w:rPr>
          <w:rFonts w:ascii="Century" w:hAnsi="Century" w:cs="Miriam"/>
          <w:b/>
          <w:spacing w:val="0"/>
          <w:szCs w:val="24"/>
          <w:rtl/>
        </w:rPr>
        <w:t xml:space="preserve"> </w:t>
      </w:r>
      <w:r w:rsidRPr="00C90C20">
        <w:rPr>
          <w:rFonts w:ascii="Century" w:hAnsi="Century" w:cs="Miriam" w:hint="eastAsia"/>
          <w:b/>
          <w:spacing w:val="0"/>
          <w:szCs w:val="24"/>
          <w:rtl/>
        </w:rPr>
        <w:t>יכולה</w:t>
      </w:r>
      <w:r w:rsidRPr="00C90C20">
        <w:rPr>
          <w:rFonts w:ascii="Century" w:hAnsi="Century" w:cs="Miriam"/>
          <w:b/>
          <w:spacing w:val="0"/>
          <w:szCs w:val="24"/>
          <w:rtl/>
        </w:rPr>
        <w:t xml:space="preserve"> </w:t>
      </w:r>
      <w:r w:rsidRPr="00C90C20">
        <w:rPr>
          <w:rFonts w:ascii="Century" w:hAnsi="Century" w:cs="Miriam" w:hint="eastAsia"/>
          <w:b/>
          <w:spacing w:val="0"/>
          <w:szCs w:val="24"/>
          <w:rtl/>
        </w:rPr>
        <w:t>הייתה</w:t>
      </w:r>
      <w:r w:rsidRPr="00C90C20">
        <w:rPr>
          <w:rFonts w:ascii="Century" w:hAnsi="Century" w:cs="Miriam"/>
          <w:b/>
          <w:spacing w:val="0"/>
          <w:szCs w:val="24"/>
          <w:rtl/>
        </w:rPr>
        <w:t xml:space="preserve"> </w:t>
      </w:r>
      <w:r w:rsidRPr="00C90C20">
        <w:rPr>
          <w:rFonts w:ascii="Century" w:hAnsi="Century" w:cs="Miriam" w:hint="eastAsia"/>
          <w:b/>
          <w:spacing w:val="0"/>
          <w:szCs w:val="24"/>
          <w:rtl/>
        </w:rPr>
        <w:t>להיעשות</w:t>
      </w:r>
      <w:r w:rsidRPr="00C90C20">
        <w:rPr>
          <w:rFonts w:ascii="Century" w:hAnsi="Century" w:cs="Miriam"/>
          <w:b/>
          <w:spacing w:val="0"/>
          <w:szCs w:val="24"/>
          <w:rtl/>
        </w:rPr>
        <w:t xml:space="preserve"> </w:t>
      </w:r>
      <w:r w:rsidRPr="00C90C20">
        <w:rPr>
          <w:rFonts w:ascii="Century" w:hAnsi="Century" w:cs="Miriam" w:hint="eastAsia"/>
          <w:b/>
          <w:spacing w:val="0"/>
          <w:szCs w:val="24"/>
          <w:rtl/>
        </w:rPr>
        <w:t>אך</w:t>
      </w:r>
      <w:r w:rsidRPr="00C90C20">
        <w:rPr>
          <w:rFonts w:ascii="Century" w:hAnsi="Century" w:cs="Miriam"/>
          <w:b/>
          <w:spacing w:val="0"/>
          <w:szCs w:val="24"/>
          <w:rtl/>
        </w:rPr>
        <w:t xml:space="preserve"> </w:t>
      </w:r>
      <w:r w:rsidRPr="00C90C20">
        <w:rPr>
          <w:rFonts w:ascii="Century" w:hAnsi="Century" w:cs="Miriam" w:hint="eastAsia"/>
          <w:b/>
          <w:spacing w:val="0"/>
          <w:szCs w:val="24"/>
          <w:rtl/>
        </w:rPr>
        <w:t>ורק</w:t>
      </w:r>
      <w:r w:rsidRPr="00C90C20">
        <w:rPr>
          <w:rFonts w:ascii="Century" w:hAnsi="Century" w:cs="Miriam"/>
          <w:b/>
          <w:spacing w:val="0"/>
          <w:szCs w:val="24"/>
          <w:rtl/>
        </w:rPr>
        <w:t xml:space="preserve"> </w:t>
      </w:r>
      <w:r w:rsidRPr="00C90C20">
        <w:rPr>
          <w:rFonts w:ascii="Century" w:hAnsi="Century" w:cs="Miriam" w:hint="eastAsia"/>
          <w:b/>
          <w:spacing w:val="0"/>
          <w:szCs w:val="24"/>
          <w:rtl/>
        </w:rPr>
        <w:t>על</w:t>
      </w:r>
      <w:r w:rsidRPr="00C90C20">
        <w:rPr>
          <w:rFonts w:ascii="Century" w:hAnsi="Century" w:cs="Miriam"/>
          <w:b/>
          <w:spacing w:val="0"/>
          <w:szCs w:val="24"/>
          <w:rtl/>
        </w:rPr>
        <w:t xml:space="preserve"> </w:t>
      </w:r>
      <w:r w:rsidRPr="00C90C20">
        <w:rPr>
          <w:rFonts w:ascii="Century" w:hAnsi="Century" w:cs="Miriam" w:hint="eastAsia"/>
          <w:b/>
          <w:spacing w:val="0"/>
          <w:szCs w:val="24"/>
          <w:rtl/>
        </w:rPr>
        <w:t>ידי</w:t>
      </w:r>
      <w:r w:rsidRPr="00C90C20">
        <w:rPr>
          <w:rFonts w:ascii="Century" w:hAnsi="Century" w:cs="Miriam"/>
          <w:b/>
          <w:spacing w:val="0"/>
          <w:szCs w:val="24"/>
          <w:rtl/>
        </w:rPr>
        <w:t xml:space="preserve"> </w:t>
      </w:r>
      <w:r w:rsidRPr="00C90C20">
        <w:rPr>
          <w:rFonts w:ascii="Century" w:hAnsi="Century" w:cs="Miriam" w:hint="eastAsia"/>
          <w:b/>
          <w:spacing w:val="0"/>
          <w:szCs w:val="24"/>
          <w:rtl/>
        </w:rPr>
        <w:t>עובד</w:t>
      </w:r>
      <w:r w:rsidRPr="00C90C20">
        <w:rPr>
          <w:rFonts w:ascii="Century" w:hAnsi="Century" w:cs="Miriam"/>
          <w:b/>
          <w:spacing w:val="0"/>
          <w:szCs w:val="24"/>
          <w:rtl/>
        </w:rPr>
        <w:t xml:space="preserve"> </w:t>
      </w:r>
      <w:r w:rsidRPr="00C90C20">
        <w:rPr>
          <w:rFonts w:ascii="Century" w:hAnsi="Century" w:cs="Miriam" w:hint="eastAsia"/>
          <w:b/>
          <w:spacing w:val="0"/>
          <w:szCs w:val="24"/>
          <w:rtl/>
        </w:rPr>
        <w:t>מדינה</w:t>
      </w:r>
      <w:r>
        <w:rPr>
          <w:rFonts w:hint="cs"/>
          <w:rtl/>
        </w:rPr>
        <w:t>". זאת ועוד נטען, כי קיימת חומרה יתרה בכך שההדלפה בוצעה טרם מוצתה והסתיימה השלמת החקירה, שכן כעולה ממסמך שהגישה המדינה בתיק העיקרי, השלמת החקירה הסתיימה רק ביום 31.01.2022, בניגוד לטענת היועצת לסדר הדברים. על יסוד האמור נטען, כי "</w:t>
      </w:r>
      <w:r w:rsidRPr="00C90C20">
        <w:rPr>
          <w:rFonts w:ascii="Century" w:hAnsi="Century" w:cs="Miriam" w:hint="eastAsia"/>
          <w:b/>
          <w:spacing w:val="0"/>
          <w:szCs w:val="24"/>
          <w:rtl/>
        </w:rPr>
        <w:t>בהחלט</w:t>
      </w:r>
      <w:r w:rsidRPr="00C90C20">
        <w:rPr>
          <w:rFonts w:ascii="Century" w:hAnsi="Century" w:cs="Miriam"/>
          <w:b/>
          <w:spacing w:val="0"/>
          <w:szCs w:val="24"/>
          <w:rtl/>
        </w:rPr>
        <w:t xml:space="preserve"> </w:t>
      </w:r>
      <w:r w:rsidRPr="00C90C20">
        <w:rPr>
          <w:rFonts w:ascii="Century" w:hAnsi="Century" w:cs="Miriam" w:hint="eastAsia"/>
          <w:b/>
          <w:spacing w:val="0"/>
          <w:szCs w:val="24"/>
          <w:rtl/>
        </w:rPr>
        <w:t>יש</w:t>
      </w:r>
      <w:r w:rsidRPr="00C90C20">
        <w:rPr>
          <w:rFonts w:ascii="Century" w:hAnsi="Century" w:cs="Miriam"/>
          <w:b/>
          <w:spacing w:val="0"/>
          <w:szCs w:val="24"/>
          <w:rtl/>
        </w:rPr>
        <w:t xml:space="preserve"> </w:t>
      </w:r>
      <w:r w:rsidRPr="00C90C20">
        <w:rPr>
          <w:rFonts w:ascii="Century" w:hAnsi="Century" w:cs="Miriam" w:hint="eastAsia"/>
          <w:b/>
          <w:spacing w:val="0"/>
          <w:szCs w:val="24"/>
          <w:rtl/>
        </w:rPr>
        <w:t>בהדלפות</w:t>
      </w:r>
      <w:r w:rsidRPr="00C90C20">
        <w:rPr>
          <w:rFonts w:ascii="Century" w:hAnsi="Century" w:cs="Miriam"/>
          <w:b/>
          <w:spacing w:val="0"/>
          <w:szCs w:val="24"/>
          <w:rtl/>
        </w:rPr>
        <w:t xml:space="preserve"> </w:t>
      </w:r>
      <w:r w:rsidRPr="00C90C20">
        <w:rPr>
          <w:rFonts w:ascii="Century" w:hAnsi="Century" w:cs="Miriam" w:hint="eastAsia"/>
          <w:b/>
          <w:spacing w:val="0"/>
          <w:szCs w:val="24"/>
          <w:rtl/>
        </w:rPr>
        <w:t>אלה</w:t>
      </w:r>
      <w:r w:rsidRPr="00C90C20">
        <w:rPr>
          <w:rFonts w:ascii="Century" w:hAnsi="Century" w:cs="Miriam"/>
          <w:b/>
          <w:spacing w:val="0"/>
          <w:szCs w:val="24"/>
          <w:rtl/>
        </w:rPr>
        <w:t xml:space="preserve"> </w:t>
      </w:r>
      <w:r w:rsidRPr="00C90C20">
        <w:rPr>
          <w:rFonts w:ascii="Century" w:hAnsi="Century" w:cs="Miriam" w:hint="eastAsia"/>
          <w:b/>
          <w:spacing w:val="0"/>
          <w:szCs w:val="24"/>
          <w:rtl/>
        </w:rPr>
        <w:t>כדי</w:t>
      </w:r>
      <w:r w:rsidRPr="00C90C20">
        <w:rPr>
          <w:rFonts w:ascii="Century" w:hAnsi="Century" w:cs="Miriam"/>
          <w:b/>
          <w:spacing w:val="0"/>
          <w:szCs w:val="24"/>
          <w:rtl/>
        </w:rPr>
        <w:t xml:space="preserve"> </w:t>
      </w:r>
      <w:r w:rsidRPr="00C90C20">
        <w:rPr>
          <w:rFonts w:ascii="Century" w:hAnsi="Century" w:cs="Miriam" w:hint="eastAsia"/>
          <w:b/>
          <w:spacing w:val="0"/>
          <w:szCs w:val="24"/>
          <w:rtl/>
        </w:rPr>
        <w:t>להשפיע</w:t>
      </w:r>
      <w:r w:rsidRPr="00C90C20">
        <w:rPr>
          <w:rFonts w:ascii="Century" w:hAnsi="Century" w:cs="Miriam"/>
          <w:b/>
          <w:spacing w:val="0"/>
          <w:szCs w:val="24"/>
          <w:rtl/>
        </w:rPr>
        <w:t xml:space="preserve"> </w:t>
      </w:r>
      <w:r w:rsidRPr="00C90C20">
        <w:rPr>
          <w:rFonts w:ascii="Century" w:hAnsi="Century" w:cs="Miriam" w:hint="eastAsia"/>
          <w:b/>
          <w:spacing w:val="0"/>
          <w:szCs w:val="24"/>
          <w:rtl/>
        </w:rPr>
        <w:t>על</w:t>
      </w:r>
      <w:r w:rsidRPr="00C90C20">
        <w:rPr>
          <w:rFonts w:ascii="Century" w:hAnsi="Century" w:cs="Miriam"/>
          <w:b/>
          <w:spacing w:val="0"/>
          <w:szCs w:val="24"/>
          <w:rtl/>
        </w:rPr>
        <w:t xml:space="preserve"> </w:t>
      </w:r>
      <w:r w:rsidRPr="00C90C20">
        <w:rPr>
          <w:rFonts w:ascii="Century" w:hAnsi="Century" w:cs="Miriam" w:hint="eastAsia"/>
          <w:b/>
          <w:spacing w:val="0"/>
          <w:szCs w:val="24"/>
          <w:rtl/>
        </w:rPr>
        <w:t>עדים</w:t>
      </w:r>
      <w:r w:rsidRPr="00C90C20">
        <w:rPr>
          <w:rFonts w:ascii="Century" w:hAnsi="Century" w:cs="Miriam"/>
          <w:b/>
          <w:spacing w:val="0"/>
          <w:szCs w:val="24"/>
          <w:rtl/>
        </w:rPr>
        <w:t xml:space="preserve"> </w:t>
      </w:r>
      <w:r w:rsidRPr="00C90C20">
        <w:rPr>
          <w:rFonts w:ascii="Century" w:hAnsi="Century" w:cs="Miriam" w:hint="eastAsia"/>
          <w:b/>
          <w:spacing w:val="0"/>
          <w:szCs w:val="24"/>
          <w:rtl/>
        </w:rPr>
        <w:t>שטרם</w:t>
      </w:r>
      <w:r w:rsidRPr="00C90C20">
        <w:rPr>
          <w:rFonts w:ascii="Century" w:hAnsi="Century" w:cs="Miriam"/>
          <w:b/>
          <w:spacing w:val="0"/>
          <w:szCs w:val="24"/>
          <w:rtl/>
        </w:rPr>
        <w:t xml:space="preserve"> </w:t>
      </w:r>
      <w:r w:rsidRPr="00C90C20">
        <w:rPr>
          <w:rFonts w:ascii="Century" w:hAnsi="Century" w:cs="Miriam" w:hint="eastAsia"/>
          <w:b/>
          <w:spacing w:val="0"/>
          <w:szCs w:val="24"/>
          <w:rtl/>
        </w:rPr>
        <w:t>נשמעה</w:t>
      </w:r>
      <w:r w:rsidRPr="00C90C20">
        <w:rPr>
          <w:rFonts w:ascii="Century" w:hAnsi="Century" w:cs="Miriam"/>
          <w:b/>
          <w:spacing w:val="0"/>
          <w:szCs w:val="24"/>
          <w:rtl/>
        </w:rPr>
        <w:t xml:space="preserve"> </w:t>
      </w:r>
      <w:r w:rsidRPr="00C90C20">
        <w:rPr>
          <w:rFonts w:ascii="Century" w:hAnsi="Century" w:cs="Miriam" w:hint="eastAsia"/>
          <w:b/>
          <w:spacing w:val="0"/>
          <w:szCs w:val="24"/>
          <w:rtl/>
        </w:rPr>
        <w:t>עדותם</w:t>
      </w:r>
      <w:r w:rsidRPr="00C90C20">
        <w:rPr>
          <w:rFonts w:ascii="Century" w:hAnsi="Century" w:cs="Miriam"/>
          <w:b/>
          <w:spacing w:val="0"/>
          <w:szCs w:val="24"/>
          <w:rtl/>
        </w:rPr>
        <w:t xml:space="preserve"> </w:t>
      </w:r>
      <w:r w:rsidRPr="00C90C20">
        <w:rPr>
          <w:rFonts w:ascii="Century" w:hAnsi="Century" w:cs="Miriam" w:hint="eastAsia"/>
          <w:b/>
          <w:spacing w:val="0"/>
          <w:szCs w:val="24"/>
          <w:rtl/>
        </w:rPr>
        <w:t>ולפגוע</w:t>
      </w:r>
      <w:r w:rsidRPr="00C90C20">
        <w:rPr>
          <w:rFonts w:ascii="Century" w:hAnsi="Century" w:cs="Miriam"/>
          <w:b/>
          <w:spacing w:val="0"/>
          <w:szCs w:val="24"/>
          <w:rtl/>
        </w:rPr>
        <w:t xml:space="preserve"> </w:t>
      </w:r>
      <w:r w:rsidRPr="00C90C20">
        <w:rPr>
          <w:rFonts w:ascii="Century" w:hAnsi="Century" w:cs="Miriam" w:hint="eastAsia"/>
          <w:b/>
          <w:spacing w:val="0"/>
          <w:szCs w:val="24"/>
          <w:rtl/>
        </w:rPr>
        <w:t>בזכותו</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העותר</w:t>
      </w:r>
      <w:r w:rsidRPr="00C90C20">
        <w:rPr>
          <w:rFonts w:ascii="Century" w:hAnsi="Century" w:cs="Miriam"/>
          <w:b/>
          <w:spacing w:val="0"/>
          <w:szCs w:val="24"/>
          <w:rtl/>
        </w:rPr>
        <w:t xml:space="preserve"> </w:t>
      </w:r>
      <w:r w:rsidRPr="00C90C20">
        <w:rPr>
          <w:rFonts w:ascii="Century" w:hAnsi="Century" w:cs="Miriam" w:hint="eastAsia"/>
          <w:b/>
          <w:spacing w:val="0"/>
          <w:szCs w:val="24"/>
          <w:rtl/>
        </w:rPr>
        <w:t>להליך</w:t>
      </w:r>
      <w:r w:rsidRPr="00C90C20">
        <w:rPr>
          <w:rFonts w:ascii="Century" w:hAnsi="Century" w:cs="Miriam"/>
          <w:b/>
          <w:spacing w:val="0"/>
          <w:szCs w:val="24"/>
          <w:rtl/>
        </w:rPr>
        <w:t xml:space="preserve"> </w:t>
      </w:r>
      <w:r w:rsidRPr="00C90C20">
        <w:rPr>
          <w:rFonts w:ascii="Century" w:hAnsi="Century" w:cs="Miriam" w:hint="eastAsia"/>
          <w:b/>
          <w:spacing w:val="0"/>
          <w:szCs w:val="24"/>
          <w:rtl/>
        </w:rPr>
        <w:t>הוגן</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אשר לעבודת המטה הוער, כי היועצת קיבלה, הלכה למעשה ולו באופן עקרוני וראשוני, את הסעד השני שהתבקש בעתירה הראשונה. אולם, אין די באמירה כללית כי ניתנה הוראה לביצוע עבודת מטה, ומצופה שיינקטו פעולות אקטיביות וברורות למניעת הדלפות של חומרי חקירה בעתיד. כך או אחרת, הוטעם, כי החלטת היועצת בהקשר זה "</w:t>
      </w:r>
      <w:r w:rsidRPr="00C90C20">
        <w:rPr>
          <w:rFonts w:ascii="Century" w:hAnsi="Century" w:cs="Miriam" w:hint="eastAsia"/>
          <w:b/>
          <w:spacing w:val="0"/>
          <w:szCs w:val="24"/>
          <w:rtl/>
        </w:rPr>
        <w:t>לא</w:t>
      </w:r>
      <w:r w:rsidRPr="00C90C20">
        <w:rPr>
          <w:rFonts w:ascii="Century" w:hAnsi="Century" w:cs="Miriam"/>
          <w:b/>
          <w:spacing w:val="0"/>
          <w:szCs w:val="24"/>
          <w:rtl/>
        </w:rPr>
        <w:t xml:space="preserve"> </w:t>
      </w:r>
      <w:r w:rsidRPr="00C90C20">
        <w:rPr>
          <w:rFonts w:ascii="Century" w:hAnsi="Century" w:cs="Miriam" w:hint="eastAsia"/>
          <w:b/>
          <w:spacing w:val="0"/>
          <w:szCs w:val="24"/>
          <w:rtl/>
        </w:rPr>
        <w:t>מקהה</w:t>
      </w:r>
      <w:r w:rsidRPr="00C90C20">
        <w:rPr>
          <w:rFonts w:ascii="Century" w:hAnsi="Century" w:cs="Miriam"/>
          <w:b/>
          <w:spacing w:val="0"/>
          <w:szCs w:val="24"/>
          <w:rtl/>
        </w:rPr>
        <w:t xml:space="preserve"> </w:t>
      </w:r>
      <w:r w:rsidRPr="00C90C20">
        <w:rPr>
          <w:rFonts w:ascii="Century" w:hAnsi="Century" w:cs="Miriam" w:hint="eastAsia"/>
          <w:b/>
          <w:spacing w:val="0"/>
          <w:szCs w:val="24"/>
          <w:rtl/>
        </w:rPr>
        <w:t>את</w:t>
      </w:r>
      <w:r w:rsidRPr="00C90C20">
        <w:rPr>
          <w:rFonts w:ascii="Century" w:hAnsi="Century" w:cs="Miriam"/>
          <w:b/>
          <w:spacing w:val="0"/>
          <w:szCs w:val="24"/>
          <w:rtl/>
        </w:rPr>
        <w:t xml:space="preserve"> </w:t>
      </w:r>
      <w:r w:rsidRPr="00C90C20">
        <w:rPr>
          <w:rFonts w:ascii="Century" w:hAnsi="Century" w:cs="Miriam" w:hint="eastAsia"/>
          <w:b/>
          <w:spacing w:val="0"/>
          <w:szCs w:val="24"/>
          <w:rtl/>
        </w:rPr>
        <w:t>החובה</w:t>
      </w:r>
      <w:r w:rsidRPr="00C90C20">
        <w:rPr>
          <w:rFonts w:ascii="Century" w:hAnsi="Century" w:cs="Miriam"/>
          <w:b/>
          <w:spacing w:val="0"/>
          <w:szCs w:val="24"/>
          <w:rtl/>
        </w:rPr>
        <w:t xml:space="preserve"> </w:t>
      </w:r>
      <w:r w:rsidRPr="00C90C20">
        <w:rPr>
          <w:rFonts w:ascii="Century" w:hAnsi="Century" w:cs="Miriam" w:hint="eastAsia"/>
          <w:b/>
          <w:spacing w:val="0"/>
          <w:szCs w:val="24"/>
          <w:rtl/>
        </w:rPr>
        <w:t>שלה</w:t>
      </w:r>
      <w:r w:rsidRPr="00C90C20">
        <w:rPr>
          <w:rFonts w:ascii="Century" w:hAnsi="Century" w:cs="Miriam"/>
          <w:b/>
          <w:spacing w:val="0"/>
          <w:szCs w:val="24"/>
          <w:rtl/>
        </w:rPr>
        <w:t xml:space="preserve"> </w:t>
      </w:r>
      <w:r w:rsidRPr="00C90C20">
        <w:rPr>
          <w:rFonts w:ascii="Century" w:hAnsi="Century" w:cs="Miriam" w:hint="eastAsia"/>
          <w:b/>
          <w:spacing w:val="0"/>
          <w:szCs w:val="24"/>
          <w:rtl/>
        </w:rPr>
        <w:t>לפתוח</w:t>
      </w:r>
      <w:r w:rsidRPr="00C90C20">
        <w:rPr>
          <w:rFonts w:ascii="Century" w:hAnsi="Century" w:cs="Miriam"/>
          <w:b/>
          <w:spacing w:val="0"/>
          <w:szCs w:val="24"/>
          <w:rtl/>
        </w:rPr>
        <w:t xml:space="preserve"> </w:t>
      </w:r>
      <w:r w:rsidRPr="00C90C20">
        <w:rPr>
          <w:rFonts w:ascii="Century" w:hAnsi="Century" w:cs="Miriam" w:hint="eastAsia"/>
          <w:b/>
          <w:spacing w:val="0"/>
          <w:szCs w:val="24"/>
          <w:rtl/>
        </w:rPr>
        <w:t>בחקירה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sidRPr="00C90C20">
        <w:rPr>
          <w:rFonts w:ascii="Century" w:hAnsi="Century" w:cs="Miriam"/>
          <w:b/>
          <w:spacing w:val="0"/>
          <w:szCs w:val="24"/>
          <w:rtl/>
        </w:rPr>
        <w:t xml:space="preserve"> </w:t>
      </w:r>
      <w:r w:rsidRPr="00C90C20">
        <w:rPr>
          <w:rFonts w:ascii="Century" w:hAnsi="Century" w:cs="Miriam" w:hint="eastAsia"/>
          <w:b/>
          <w:spacing w:val="0"/>
          <w:szCs w:val="24"/>
          <w:rtl/>
        </w:rPr>
        <w:t>בכל</w:t>
      </w:r>
      <w:r w:rsidRPr="00C90C20">
        <w:rPr>
          <w:rFonts w:ascii="Century" w:hAnsi="Century" w:cs="Miriam"/>
          <w:b/>
          <w:spacing w:val="0"/>
          <w:szCs w:val="24"/>
          <w:rtl/>
        </w:rPr>
        <w:t xml:space="preserve"> </w:t>
      </w:r>
      <w:r w:rsidRPr="00C90C20">
        <w:rPr>
          <w:rFonts w:ascii="Century" w:hAnsi="Century" w:cs="Miriam" w:hint="eastAsia"/>
          <w:b/>
          <w:spacing w:val="0"/>
          <w:szCs w:val="24"/>
          <w:rtl/>
        </w:rPr>
        <w:t>הקשור</w:t>
      </w:r>
      <w:r w:rsidRPr="00C90C20">
        <w:rPr>
          <w:rFonts w:ascii="Century" w:hAnsi="Century" w:cs="Miriam"/>
          <w:b/>
          <w:spacing w:val="0"/>
          <w:szCs w:val="24"/>
          <w:rtl/>
        </w:rPr>
        <w:t xml:space="preserve"> </w:t>
      </w:r>
      <w:r w:rsidRPr="00C90C20">
        <w:rPr>
          <w:rFonts w:ascii="Century" w:hAnsi="Century" w:cs="Miriam" w:hint="eastAsia"/>
          <w:b/>
          <w:spacing w:val="0"/>
          <w:szCs w:val="24"/>
          <w:rtl/>
        </w:rPr>
        <w:t>להדלפה</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חומרי</w:t>
      </w:r>
      <w:r w:rsidRPr="00C90C20">
        <w:rPr>
          <w:rFonts w:ascii="Century" w:hAnsi="Century" w:cs="Miriam"/>
          <w:b/>
          <w:spacing w:val="0"/>
          <w:szCs w:val="24"/>
          <w:rtl/>
        </w:rPr>
        <w:t xml:space="preserve"> </w:t>
      </w:r>
      <w:r w:rsidRPr="00C90C20">
        <w:rPr>
          <w:rFonts w:ascii="Century" w:hAnsi="Century" w:cs="Miriam" w:hint="eastAsia"/>
          <w:b/>
          <w:spacing w:val="0"/>
          <w:szCs w:val="24"/>
          <w:rtl/>
        </w:rPr>
        <w:t>החקירה</w:t>
      </w:r>
      <w:r>
        <w:rPr>
          <w:rFonts w:hint="cs"/>
          <w:rtl/>
        </w:rPr>
        <w:t>".</w:t>
      </w:r>
    </w:p>
    <w:p w:rsidR="00DB6151" w:rsidRPr="00F45C46" w:rsidRDefault="00DB6151" w:rsidP="004356B2">
      <w:pPr>
        <w:pStyle w:val="Ruller41"/>
        <w:keepNext/>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ב.4. עיקרי התגובה לעתירה המתוקנת</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ביום 04.05.2023, לאחר מספר </w:t>
      </w:r>
      <w:proofErr w:type="spellStart"/>
      <w:r>
        <w:rPr>
          <w:rFonts w:hint="cs"/>
          <w:rtl/>
        </w:rPr>
        <w:t>ארכות</w:t>
      </w:r>
      <w:proofErr w:type="spellEnd"/>
      <w:r>
        <w:rPr>
          <w:rFonts w:hint="cs"/>
          <w:rtl/>
        </w:rPr>
        <w:t xml:space="preserve">, הוגשה תגובה מטעם היועצת לעתירה המתוקנת, בגדרה נטען כי דין העתירה להידחות בהיעדר עילה להתערבות שיפוטית בהחלטתה. זאת, בתמצית, מכיוון שההחלטה התקבלה, כפי שכבר צוין בתגובה לעתירה </w:t>
      </w:r>
      <w:r>
        <w:rPr>
          <w:rFonts w:hint="cs"/>
          <w:rtl/>
        </w:rPr>
        <w:lastRenderedPageBreak/>
        <w:t>הראשונה, "</w:t>
      </w:r>
      <w:r w:rsidRPr="00C90C20">
        <w:rPr>
          <w:rFonts w:ascii="Century" w:hAnsi="Century" w:cs="Miriam" w:hint="eastAsia"/>
          <w:b/>
          <w:spacing w:val="0"/>
          <w:szCs w:val="24"/>
          <w:rtl/>
        </w:rPr>
        <w:t>בתום</w:t>
      </w:r>
      <w:r w:rsidRPr="00C90C20">
        <w:rPr>
          <w:rFonts w:ascii="Century" w:hAnsi="Century" w:cs="Miriam"/>
          <w:b/>
          <w:spacing w:val="0"/>
          <w:szCs w:val="24"/>
          <w:rtl/>
        </w:rPr>
        <w:t xml:space="preserve"> </w:t>
      </w:r>
      <w:r w:rsidRPr="00C90C20">
        <w:rPr>
          <w:rFonts w:ascii="Century" w:hAnsi="Century" w:cs="Miriam" w:hint="eastAsia"/>
          <w:b/>
          <w:spacing w:val="0"/>
          <w:szCs w:val="24"/>
          <w:rtl/>
        </w:rPr>
        <w:t>הליך</w:t>
      </w:r>
      <w:r w:rsidRPr="00C90C20">
        <w:rPr>
          <w:rFonts w:ascii="Century" w:hAnsi="Century" w:cs="Miriam"/>
          <w:b/>
          <w:spacing w:val="0"/>
          <w:szCs w:val="24"/>
          <w:rtl/>
        </w:rPr>
        <w:t xml:space="preserve"> </w:t>
      </w:r>
      <w:r w:rsidRPr="00C90C20">
        <w:rPr>
          <w:rFonts w:ascii="Century" w:hAnsi="Century" w:cs="Miriam" w:hint="eastAsia"/>
          <w:b/>
          <w:spacing w:val="0"/>
          <w:szCs w:val="24"/>
          <w:rtl/>
        </w:rPr>
        <w:t>סדור</w:t>
      </w:r>
      <w:r w:rsidRPr="00C90C20">
        <w:rPr>
          <w:rFonts w:ascii="Century" w:hAnsi="Century" w:cs="Miriam"/>
          <w:b/>
          <w:spacing w:val="0"/>
          <w:szCs w:val="24"/>
          <w:rtl/>
        </w:rPr>
        <w:t xml:space="preserve">, </w:t>
      </w:r>
      <w:r w:rsidRPr="00C90C20">
        <w:rPr>
          <w:rFonts w:ascii="Century" w:hAnsi="Century" w:cs="Miriam" w:hint="eastAsia"/>
          <w:b/>
          <w:spacing w:val="0"/>
          <w:szCs w:val="24"/>
          <w:rtl/>
        </w:rPr>
        <w:t>מקצועי</w:t>
      </w:r>
      <w:r w:rsidRPr="00C90C20">
        <w:rPr>
          <w:rFonts w:ascii="Century" w:hAnsi="Century" w:cs="Miriam"/>
          <w:b/>
          <w:spacing w:val="0"/>
          <w:szCs w:val="24"/>
          <w:rtl/>
        </w:rPr>
        <w:t xml:space="preserve"> </w:t>
      </w:r>
      <w:r w:rsidRPr="00C90C20">
        <w:rPr>
          <w:rFonts w:ascii="Century" w:hAnsi="Century" w:cs="Miriam" w:hint="eastAsia"/>
          <w:b/>
          <w:spacing w:val="0"/>
          <w:szCs w:val="24"/>
          <w:rtl/>
        </w:rPr>
        <w:t>ומקיף</w:t>
      </w:r>
      <w:r>
        <w:rPr>
          <w:rFonts w:hint="cs"/>
          <w:rtl/>
        </w:rPr>
        <w:t>", ולאחר שהמקרה נבחן על-ידי בכירי מערכת אכיפת החוק במדינה, והיא משקפת "</w:t>
      </w:r>
      <w:r w:rsidRPr="00C90C20">
        <w:rPr>
          <w:rFonts w:ascii="Century" w:hAnsi="Century" w:cs="Miriam" w:hint="eastAsia"/>
          <w:b/>
          <w:spacing w:val="0"/>
          <w:szCs w:val="24"/>
          <w:rtl/>
        </w:rPr>
        <w:t>יישום</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הקווים</w:t>
      </w:r>
      <w:r w:rsidRPr="00C90C20">
        <w:rPr>
          <w:rFonts w:ascii="Century" w:hAnsi="Century" w:cs="Miriam"/>
          <w:b/>
          <w:spacing w:val="0"/>
          <w:szCs w:val="24"/>
          <w:rtl/>
        </w:rPr>
        <w:t xml:space="preserve"> </w:t>
      </w:r>
      <w:r w:rsidRPr="00C90C20">
        <w:rPr>
          <w:rFonts w:ascii="Century" w:hAnsi="Century" w:cs="Miriam" w:hint="eastAsia"/>
          <w:b/>
          <w:spacing w:val="0"/>
          <w:szCs w:val="24"/>
          <w:rtl/>
        </w:rPr>
        <w:t>המנחים</w:t>
      </w:r>
      <w:r w:rsidRPr="00C90C20">
        <w:rPr>
          <w:rFonts w:ascii="Century" w:hAnsi="Century" w:cs="Miriam"/>
          <w:b/>
          <w:spacing w:val="0"/>
          <w:szCs w:val="24"/>
          <w:rtl/>
        </w:rPr>
        <w:t xml:space="preserve"> </w:t>
      </w:r>
      <w:r w:rsidRPr="00C90C20">
        <w:rPr>
          <w:rFonts w:ascii="Century" w:hAnsi="Century" w:cs="Miriam" w:hint="eastAsia"/>
          <w:b/>
          <w:spacing w:val="0"/>
          <w:szCs w:val="24"/>
          <w:rtl/>
        </w:rPr>
        <w:t>והמדיניות</w:t>
      </w:r>
      <w:r w:rsidRPr="00C90C20">
        <w:rPr>
          <w:rFonts w:ascii="Century" w:hAnsi="Century" w:cs="Miriam"/>
          <w:b/>
          <w:spacing w:val="0"/>
          <w:szCs w:val="24"/>
          <w:rtl/>
        </w:rPr>
        <w:t xml:space="preserve"> </w:t>
      </w:r>
      <w:r w:rsidRPr="00C90C20">
        <w:rPr>
          <w:rFonts w:ascii="Century" w:hAnsi="Century" w:cs="Miriam" w:hint="eastAsia"/>
          <w:b/>
          <w:spacing w:val="0"/>
          <w:szCs w:val="24"/>
          <w:rtl/>
        </w:rPr>
        <w:t>שנקבעו</w:t>
      </w:r>
      <w:r w:rsidRPr="00C90C20">
        <w:rPr>
          <w:rFonts w:ascii="Century" w:hAnsi="Century" w:cs="Miriam"/>
          <w:b/>
          <w:spacing w:val="0"/>
          <w:szCs w:val="24"/>
          <w:rtl/>
        </w:rPr>
        <w:t xml:space="preserve"> </w:t>
      </w:r>
      <w:r w:rsidRPr="00C90C20">
        <w:rPr>
          <w:rFonts w:ascii="Century" w:hAnsi="Century" w:cs="Miriam" w:hint="eastAsia"/>
          <w:b/>
          <w:spacing w:val="0"/>
          <w:szCs w:val="24"/>
          <w:rtl/>
        </w:rPr>
        <w:t>ב</w:t>
      </w:r>
      <w:r w:rsidRPr="00C90C20">
        <w:rPr>
          <w:rFonts w:ascii="Century" w:hAnsi="Century" w:cs="Miriam"/>
          <w:b/>
          <w:spacing w:val="0"/>
          <w:szCs w:val="24"/>
          <w:rtl/>
        </w:rPr>
        <w:t xml:space="preserve">[הנחיית </w:t>
      </w:r>
      <w:r w:rsidRPr="00C90C20">
        <w:rPr>
          <w:rFonts w:ascii="Century" w:hAnsi="Century" w:cs="Miriam" w:hint="eastAsia"/>
          <w:b/>
          <w:spacing w:val="0"/>
          <w:szCs w:val="24"/>
          <w:rtl/>
        </w:rPr>
        <w:t>היועץ</w:t>
      </w:r>
      <w:r w:rsidRPr="00C90C20">
        <w:rPr>
          <w:rFonts w:ascii="Century" w:hAnsi="Century" w:cs="Miriam"/>
          <w:b/>
          <w:spacing w:val="0"/>
          <w:szCs w:val="24"/>
          <w:rtl/>
        </w:rPr>
        <w:t xml:space="preserve">] </w:t>
      </w:r>
      <w:proofErr w:type="spellStart"/>
      <w:r w:rsidRPr="00C90C20">
        <w:rPr>
          <w:rFonts w:ascii="Century" w:hAnsi="Century" w:cs="Miriam" w:hint="eastAsia"/>
          <w:b/>
          <w:spacing w:val="0"/>
          <w:szCs w:val="24"/>
          <w:rtl/>
        </w:rPr>
        <w:t>בענין</w:t>
      </w:r>
      <w:proofErr w:type="spellEnd"/>
      <w:r>
        <w:rPr>
          <w:rFonts w:hint="cs"/>
          <w:rtl/>
        </w:rPr>
        <w:t>", תוך שהודגש כי ההחלטה התקבלה "</w:t>
      </w:r>
      <w:r w:rsidRPr="00C90C20">
        <w:rPr>
          <w:rFonts w:ascii="Century" w:hAnsi="Century" w:cs="Miriam" w:hint="eastAsia"/>
          <w:b/>
          <w:spacing w:val="0"/>
          <w:szCs w:val="24"/>
          <w:rtl/>
        </w:rPr>
        <w:t>בהתחשב</w:t>
      </w:r>
      <w:r w:rsidRPr="00C90C20">
        <w:rPr>
          <w:rFonts w:ascii="Century" w:hAnsi="Century" w:cs="Miriam"/>
          <w:b/>
          <w:spacing w:val="0"/>
          <w:szCs w:val="24"/>
          <w:rtl/>
        </w:rPr>
        <w:t xml:space="preserve"> במכלול השיקולים והנסיבות </w:t>
      </w:r>
      <w:proofErr w:type="spellStart"/>
      <w:r w:rsidRPr="00C90C20">
        <w:rPr>
          <w:rFonts w:ascii="Century" w:hAnsi="Century" w:cs="Miriam" w:hint="eastAsia"/>
          <w:b/>
          <w:spacing w:val="0"/>
          <w:szCs w:val="24"/>
          <w:rtl/>
        </w:rPr>
        <w:t>בענין</w:t>
      </w:r>
      <w:proofErr w:type="spellEnd"/>
      <w:r w:rsidRPr="00C90C20">
        <w:rPr>
          <w:rFonts w:ascii="Century" w:hAnsi="Century" w:cs="Miriam"/>
          <w:b/>
          <w:spacing w:val="0"/>
          <w:szCs w:val="24"/>
          <w:rtl/>
        </w:rPr>
        <w:t xml:space="preserve"> הקונקרטי</w:t>
      </w:r>
      <w:r>
        <w:rPr>
          <w:rFonts w:hint="cs"/>
          <w:rtl/>
        </w:rPr>
        <w:t>". עוד נטען, כי מדובר ב"</w:t>
      </w:r>
      <w:r w:rsidRPr="00C90C20">
        <w:rPr>
          <w:rFonts w:ascii="Century" w:hAnsi="Century" w:cs="Miriam" w:hint="eastAsia"/>
          <w:b/>
          <w:spacing w:val="0"/>
          <w:szCs w:val="24"/>
          <w:rtl/>
        </w:rPr>
        <w:t>החלטה</w:t>
      </w:r>
      <w:r w:rsidRPr="00C90C20">
        <w:rPr>
          <w:rFonts w:ascii="Century" w:hAnsi="Century" w:cs="Miriam"/>
          <w:b/>
          <w:spacing w:val="0"/>
          <w:szCs w:val="24"/>
          <w:rtl/>
        </w:rPr>
        <w:t xml:space="preserve"> </w:t>
      </w:r>
      <w:r w:rsidRPr="00C90C20">
        <w:rPr>
          <w:rFonts w:ascii="Century" w:hAnsi="Century" w:cs="Miriam" w:hint="eastAsia"/>
          <w:b/>
          <w:spacing w:val="0"/>
          <w:szCs w:val="24"/>
          <w:rtl/>
        </w:rPr>
        <w:t>עניינית</w:t>
      </w:r>
      <w:r w:rsidRPr="00C90C20">
        <w:rPr>
          <w:rFonts w:ascii="Century" w:hAnsi="Century" w:cs="Miriam"/>
          <w:b/>
          <w:spacing w:val="0"/>
          <w:szCs w:val="24"/>
          <w:rtl/>
        </w:rPr>
        <w:t xml:space="preserve">, </w:t>
      </w:r>
      <w:r w:rsidRPr="00C90C20">
        <w:rPr>
          <w:rFonts w:ascii="Century" w:hAnsi="Century" w:cs="Miriam" w:hint="eastAsia"/>
          <w:b/>
          <w:spacing w:val="0"/>
          <w:szCs w:val="24"/>
          <w:rtl/>
        </w:rPr>
        <w:t>המתבקשת</w:t>
      </w:r>
      <w:r w:rsidRPr="00C90C20">
        <w:rPr>
          <w:rFonts w:ascii="Century" w:hAnsi="Century" w:cs="Miriam"/>
          <w:b/>
          <w:spacing w:val="0"/>
          <w:szCs w:val="24"/>
          <w:rtl/>
        </w:rPr>
        <w:t xml:space="preserve"> </w:t>
      </w:r>
      <w:r w:rsidRPr="00C90C20">
        <w:rPr>
          <w:rFonts w:ascii="Century" w:hAnsi="Century" w:cs="Miriam" w:hint="eastAsia"/>
          <w:b/>
          <w:spacing w:val="0"/>
          <w:szCs w:val="24"/>
          <w:rtl/>
        </w:rPr>
        <w:t>מתוך</w:t>
      </w:r>
      <w:r w:rsidRPr="00C90C20">
        <w:rPr>
          <w:rFonts w:ascii="Century" w:hAnsi="Century" w:cs="Miriam"/>
          <w:b/>
          <w:spacing w:val="0"/>
          <w:szCs w:val="24"/>
          <w:rtl/>
        </w:rPr>
        <w:t xml:space="preserve"> </w:t>
      </w:r>
      <w:r w:rsidRPr="00C90C20">
        <w:rPr>
          <w:rFonts w:ascii="Century" w:hAnsi="Century" w:cs="Miriam" w:hint="eastAsia"/>
          <w:b/>
          <w:spacing w:val="0"/>
          <w:szCs w:val="24"/>
          <w:rtl/>
        </w:rPr>
        <w:t>הקווים</w:t>
      </w:r>
      <w:r w:rsidRPr="00C90C20">
        <w:rPr>
          <w:rFonts w:ascii="Century" w:hAnsi="Century" w:cs="Miriam"/>
          <w:b/>
          <w:spacing w:val="0"/>
          <w:szCs w:val="24"/>
          <w:rtl/>
        </w:rPr>
        <w:t xml:space="preserve"> </w:t>
      </w:r>
      <w:r w:rsidRPr="00C90C20">
        <w:rPr>
          <w:rFonts w:ascii="Century" w:hAnsi="Century" w:cs="Miriam" w:hint="eastAsia"/>
          <w:b/>
          <w:spacing w:val="0"/>
          <w:szCs w:val="24"/>
          <w:rtl/>
        </w:rPr>
        <w:t>המנחים</w:t>
      </w:r>
      <w:r w:rsidRPr="00C90C20">
        <w:rPr>
          <w:rFonts w:ascii="Century" w:hAnsi="Century" w:cs="Miriam"/>
          <w:b/>
          <w:spacing w:val="0"/>
          <w:szCs w:val="24"/>
          <w:rtl/>
        </w:rPr>
        <w:t xml:space="preserve"> </w:t>
      </w:r>
      <w:r w:rsidRPr="00C90C20">
        <w:rPr>
          <w:rFonts w:ascii="Century" w:hAnsi="Century" w:cs="Miriam" w:hint="eastAsia"/>
          <w:b/>
          <w:spacing w:val="0"/>
          <w:szCs w:val="24"/>
          <w:rtl/>
        </w:rPr>
        <w:t>שנקבעו</w:t>
      </w:r>
      <w:r w:rsidRPr="00C90C20">
        <w:rPr>
          <w:rFonts w:ascii="Century" w:hAnsi="Century" w:cs="Miriam"/>
          <w:b/>
          <w:spacing w:val="0"/>
          <w:szCs w:val="24"/>
          <w:rtl/>
        </w:rPr>
        <w:t xml:space="preserve"> </w:t>
      </w:r>
      <w:r w:rsidRPr="00C90C20">
        <w:rPr>
          <w:rFonts w:ascii="Century" w:hAnsi="Century" w:cs="Miriam" w:hint="eastAsia"/>
          <w:b/>
          <w:spacing w:val="0"/>
          <w:szCs w:val="24"/>
          <w:rtl/>
        </w:rPr>
        <w:t>לעבירה</w:t>
      </w:r>
      <w:r w:rsidRPr="00C90C20">
        <w:rPr>
          <w:rFonts w:ascii="Century" w:hAnsi="Century" w:cs="Miriam"/>
          <w:b/>
          <w:spacing w:val="0"/>
          <w:szCs w:val="24"/>
          <w:rtl/>
        </w:rPr>
        <w:t xml:space="preserve"> </w:t>
      </w:r>
      <w:r w:rsidRPr="00C90C20">
        <w:rPr>
          <w:rFonts w:ascii="Century" w:hAnsi="Century" w:cs="Miriam" w:hint="eastAsia"/>
          <w:b/>
          <w:spacing w:val="0"/>
          <w:szCs w:val="24"/>
          <w:rtl/>
        </w:rPr>
        <w:t>הייחודית</w:t>
      </w:r>
      <w:r w:rsidRPr="00C90C20">
        <w:rPr>
          <w:rFonts w:ascii="Century" w:hAnsi="Century" w:cs="Miriam"/>
          <w:b/>
          <w:spacing w:val="0"/>
          <w:szCs w:val="24"/>
          <w:rtl/>
        </w:rPr>
        <w:t xml:space="preserve"> </w:t>
      </w:r>
      <w:r w:rsidRPr="00C90C20">
        <w:rPr>
          <w:rFonts w:ascii="Century" w:hAnsi="Century" w:cs="Miriam" w:hint="eastAsia"/>
          <w:b/>
          <w:spacing w:val="0"/>
          <w:szCs w:val="24"/>
          <w:rtl/>
        </w:rPr>
        <w:t>הנטענת</w:t>
      </w:r>
      <w:r w:rsidRPr="00C90C20">
        <w:rPr>
          <w:rFonts w:ascii="Century" w:hAnsi="Century" w:cs="Miriam"/>
          <w:b/>
          <w:spacing w:val="0"/>
          <w:szCs w:val="24"/>
          <w:rtl/>
        </w:rPr>
        <w:t xml:space="preserve">, </w:t>
      </w:r>
      <w:r w:rsidRPr="00C90C20">
        <w:rPr>
          <w:rFonts w:ascii="Century" w:hAnsi="Century" w:cs="Miriam" w:hint="eastAsia"/>
          <w:b/>
          <w:spacing w:val="0"/>
          <w:szCs w:val="24"/>
          <w:rtl/>
        </w:rPr>
        <w:t>והיא</w:t>
      </w:r>
      <w:r w:rsidRPr="00C90C20">
        <w:rPr>
          <w:rFonts w:ascii="Century" w:hAnsi="Century" w:cs="Miriam"/>
          <w:b/>
          <w:spacing w:val="0"/>
          <w:szCs w:val="24"/>
          <w:rtl/>
        </w:rPr>
        <w:t xml:space="preserve"> </w:t>
      </w:r>
      <w:r w:rsidRPr="00C90C20">
        <w:rPr>
          <w:rFonts w:ascii="Century" w:hAnsi="Century" w:cs="Miriam" w:hint="eastAsia"/>
          <w:b/>
          <w:spacing w:val="0"/>
          <w:szCs w:val="24"/>
          <w:rtl/>
        </w:rPr>
        <w:t>החלטה</w:t>
      </w:r>
      <w:r w:rsidRPr="00C90C20">
        <w:rPr>
          <w:rFonts w:ascii="Century" w:hAnsi="Century" w:cs="Miriam"/>
          <w:b/>
          <w:spacing w:val="0"/>
          <w:szCs w:val="24"/>
          <w:rtl/>
        </w:rPr>
        <w:t xml:space="preserve"> </w:t>
      </w:r>
      <w:r w:rsidRPr="00C90C20">
        <w:rPr>
          <w:rFonts w:ascii="Century" w:hAnsi="Century" w:cs="Miriam" w:hint="eastAsia"/>
          <w:b/>
          <w:spacing w:val="0"/>
          <w:szCs w:val="24"/>
          <w:rtl/>
        </w:rPr>
        <w:t>מנומקת</w:t>
      </w:r>
      <w:r w:rsidRPr="00C90C20">
        <w:rPr>
          <w:rFonts w:ascii="Century" w:hAnsi="Century" w:cs="Miriam"/>
          <w:b/>
          <w:spacing w:val="0"/>
          <w:szCs w:val="24"/>
          <w:rtl/>
        </w:rPr>
        <w:t xml:space="preserve"> </w:t>
      </w:r>
      <w:r w:rsidRPr="00C90C20">
        <w:rPr>
          <w:rFonts w:ascii="Century" w:hAnsi="Century" w:cs="Miriam" w:hint="eastAsia"/>
          <w:b/>
          <w:spacing w:val="0"/>
          <w:szCs w:val="24"/>
          <w:rtl/>
        </w:rPr>
        <w:t>וסבירה</w:t>
      </w:r>
      <w:r w:rsidRPr="00C90C20">
        <w:rPr>
          <w:rFonts w:ascii="Century" w:hAnsi="Century" w:cs="Miriam"/>
          <w:b/>
          <w:spacing w:val="0"/>
          <w:szCs w:val="24"/>
          <w:rtl/>
        </w:rPr>
        <w:t xml:space="preserve"> </w:t>
      </w:r>
      <w:r w:rsidRPr="00C90C20">
        <w:rPr>
          <w:rFonts w:ascii="Century" w:hAnsi="Century" w:cs="Miriam" w:hint="eastAsia"/>
          <w:b/>
          <w:spacing w:val="0"/>
          <w:szCs w:val="24"/>
          <w:rtl/>
        </w:rPr>
        <w:t>אשר</w:t>
      </w:r>
      <w:r w:rsidRPr="00C90C20">
        <w:rPr>
          <w:rFonts w:ascii="Century" w:hAnsi="Century" w:cs="Miriam"/>
          <w:b/>
          <w:spacing w:val="0"/>
          <w:szCs w:val="24"/>
          <w:rtl/>
        </w:rPr>
        <w:t xml:space="preserve"> </w:t>
      </w:r>
      <w:r w:rsidRPr="00C90C20">
        <w:rPr>
          <w:rFonts w:ascii="Century" w:hAnsi="Century" w:cs="Miriam" w:hint="eastAsia"/>
          <w:b/>
          <w:spacing w:val="0"/>
          <w:szCs w:val="24"/>
          <w:rtl/>
        </w:rPr>
        <w:t>אינה</w:t>
      </w:r>
      <w:r w:rsidRPr="00C90C20">
        <w:rPr>
          <w:rFonts w:ascii="Century" w:hAnsi="Century" w:cs="Miriam"/>
          <w:b/>
          <w:spacing w:val="0"/>
          <w:szCs w:val="24"/>
          <w:rtl/>
        </w:rPr>
        <w:t xml:space="preserve"> </w:t>
      </w:r>
      <w:r w:rsidRPr="00C90C20">
        <w:rPr>
          <w:rFonts w:ascii="Century" w:hAnsi="Century" w:cs="Miriam" w:hint="eastAsia"/>
          <w:b/>
          <w:spacing w:val="0"/>
          <w:szCs w:val="24"/>
          <w:rtl/>
        </w:rPr>
        <w:t>מקימה</w:t>
      </w:r>
      <w:r w:rsidRPr="00C90C20">
        <w:rPr>
          <w:rFonts w:ascii="Century" w:hAnsi="Century" w:cs="Miriam"/>
          <w:b/>
          <w:spacing w:val="0"/>
          <w:szCs w:val="24"/>
          <w:rtl/>
        </w:rPr>
        <w:t xml:space="preserve"> </w:t>
      </w:r>
      <w:r w:rsidRPr="00C90C20">
        <w:rPr>
          <w:rFonts w:ascii="Century" w:hAnsi="Century" w:cs="Miriam" w:hint="eastAsia"/>
          <w:b/>
          <w:spacing w:val="0"/>
          <w:szCs w:val="24"/>
          <w:rtl/>
        </w:rPr>
        <w:t>עילה</w:t>
      </w:r>
      <w:r w:rsidRPr="00C90C20">
        <w:rPr>
          <w:rFonts w:ascii="Century" w:hAnsi="Century" w:cs="Miriam"/>
          <w:b/>
          <w:spacing w:val="0"/>
          <w:szCs w:val="24"/>
          <w:rtl/>
        </w:rPr>
        <w:t xml:space="preserve"> להתערבותו של בית המשפט [...] בתוך כך יש גם לתת את הדעת </w:t>
      </w:r>
      <w:r w:rsidRPr="00C90C20">
        <w:rPr>
          <w:rFonts w:ascii="Century" w:hAnsi="Century" w:cs="Miriam" w:hint="eastAsia"/>
          <w:b/>
          <w:spacing w:val="0"/>
          <w:szCs w:val="24"/>
          <w:rtl/>
        </w:rPr>
        <w:t>לשיקול</w:t>
      </w:r>
      <w:r w:rsidRPr="00C90C20">
        <w:rPr>
          <w:rFonts w:ascii="Century" w:hAnsi="Century" w:cs="Miriam"/>
          <w:b/>
          <w:spacing w:val="0"/>
          <w:szCs w:val="24"/>
          <w:rtl/>
        </w:rPr>
        <w:t xml:space="preserve"> </w:t>
      </w:r>
      <w:r w:rsidRPr="00C90C20">
        <w:rPr>
          <w:rFonts w:ascii="Century" w:hAnsi="Century" w:cs="Miriam" w:hint="eastAsia"/>
          <w:b/>
          <w:spacing w:val="0"/>
          <w:szCs w:val="24"/>
          <w:rtl/>
        </w:rPr>
        <w:t>הדעת</w:t>
      </w:r>
      <w:r w:rsidRPr="00C90C20">
        <w:rPr>
          <w:rFonts w:ascii="Century" w:hAnsi="Century" w:cs="Miriam"/>
          <w:b/>
          <w:spacing w:val="0"/>
          <w:szCs w:val="24"/>
          <w:rtl/>
        </w:rPr>
        <w:t xml:space="preserve"> </w:t>
      </w:r>
      <w:r w:rsidRPr="00C90C20">
        <w:rPr>
          <w:rFonts w:ascii="Century" w:hAnsi="Century" w:cs="Miriam" w:hint="eastAsia"/>
          <w:b/>
          <w:spacing w:val="0"/>
          <w:szCs w:val="24"/>
          <w:rtl/>
        </w:rPr>
        <w:t>הרחב</w:t>
      </w:r>
      <w:r w:rsidRPr="00C90C20">
        <w:rPr>
          <w:rFonts w:ascii="Century" w:hAnsi="Century" w:cs="Miriam"/>
          <w:b/>
          <w:spacing w:val="0"/>
          <w:szCs w:val="24"/>
          <w:rtl/>
        </w:rPr>
        <w:t xml:space="preserve"> </w:t>
      </w:r>
      <w:r w:rsidRPr="00C90C20">
        <w:rPr>
          <w:rFonts w:ascii="Century" w:hAnsi="Century" w:cs="Miriam" w:hint="eastAsia"/>
          <w:b/>
          <w:spacing w:val="0"/>
          <w:szCs w:val="24"/>
          <w:rtl/>
        </w:rPr>
        <w:t>הנתון</w:t>
      </w:r>
      <w:r w:rsidRPr="00C90C20">
        <w:rPr>
          <w:rFonts w:ascii="Century" w:hAnsi="Century" w:cs="Miriam"/>
          <w:b/>
          <w:spacing w:val="0"/>
          <w:szCs w:val="24"/>
          <w:rtl/>
        </w:rPr>
        <w:t xml:space="preserve"> </w:t>
      </w:r>
      <w:r w:rsidRPr="00C90C20">
        <w:rPr>
          <w:rFonts w:ascii="Century" w:hAnsi="Century" w:cs="Miriam" w:hint="eastAsia"/>
          <w:b/>
          <w:spacing w:val="0"/>
          <w:szCs w:val="24"/>
          <w:rtl/>
        </w:rPr>
        <w:t>לרשויות</w:t>
      </w:r>
      <w:r w:rsidRPr="00C90C20">
        <w:rPr>
          <w:rFonts w:ascii="Century" w:hAnsi="Century" w:cs="Miriam"/>
          <w:b/>
          <w:spacing w:val="0"/>
          <w:szCs w:val="24"/>
          <w:rtl/>
        </w:rPr>
        <w:t xml:space="preserve"> </w:t>
      </w:r>
      <w:r w:rsidRPr="00C90C20">
        <w:rPr>
          <w:rFonts w:ascii="Century" w:hAnsi="Century" w:cs="Miriam" w:hint="eastAsia"/>
          <w:b/>
          <w:spacing w:val="0"/>
          <w:szCs w:val="24"/>
          <w:rtl/>
        </w:rPr>
        <w:t>התביעה</w:t>
      </w:r>
      <w:r w:rsidRPr="00C90C20">
        <w:rPr>
          <w:rFonts w:ascii="Century" w:hAnsi="Century" w:cs="Miriam"/>
          <w:b/>
          <w:spacing w:val="0"/>
          <w:szCs w:val="24"/>
          <w:rtl/>
        </w:rPr>
        <w:t xml:space="preserve">, </w:t>
      </w:r>
      <w:r w:rsidRPr="00C90C20">
        <w:rPr>
          <w:rFonts w:ascii="Century" w:hAnsi="Century" w:cs="Miriam" w:hint="eastAsia"/>
          <w:b/>
          <w:spacing w:val="0"/>
          <w:szCs w:val="24"/>
          <w:rtl/>
        </w:rPr>
        <w:t>ובפרט</w:t>
      </w:r>
      <w:r w:rsidRPr="00C90C20">
        <w:rPr>
          <w:rFonts w:ascii="Century" w:hAnsi="Century" w:cs="Miriam"/>
          <w:b/>
          <w:spacing w:val="0"/>
          <w:szCs w:val="24"/>
          <w:rtl/>
        </w:rPr>
        <w:t xml:space="preserve"> </w:t>
      </w:r>
      <w:r w:rsidRPr="00C90C20">
        <w:rPr>
          <w:rFonts w:ascii="Century" w:hAnsi="Century" w:cs="Miriam" w:hint="eastAsia"/>
          <w:b/>
          <w:spacing w:val="0"/>
          <w:szCs w:val="24"/>
          <w:rtl/>
        </w:rPr>
        <w:t>לעומדת</w:t>
      </w:r>
      <w:r w:rsidRPr="00C90C20">
        <w:rPr>
          <w:rFonts w:ascii="Century" w:hAnsi="Century" w:cs="Miriam"/>
          <w:b/>
          <w:spacing w:val="0"/>
          <w:szCs w:val="24"/>
          <w:rtl/>
        </w:rPr>
        <w:t xml:space="preserve"> </w:t>
      </w:r>
      <w:r w:rsidRPr="00C90C20">
        <w:rPr>
          <w:rFonts w:ascii="Century" w:hAnsi="Century" w:cs="Miriam" w:hint="eastAsia"/>
          <w:b/>
          <w:spacing w:val="0"/>
          <w:szCs w:val="24"/>
          <w:rtl/>
        </w:rPr>
        <w:t>בראשן</w:t>
      </w:r>
      <w:r w:rsidRPr="00C90C20">
        <w:rPr>
          <w:rFonts w:ascii="Century" w:hAnsi="Century" w:cs="Miriam"/>
          <w:b/>
          <w:spacing w:val="0"/>
          <w:szCs w:val="24"/>
          <w:rtl/>
        </w:rPr>
        <w:t xml:space="preserve">, </w:t>
      </w:r>
      <w:r w:rsidRPr="00C90C20">
        <w:rPr>
          <w:rFonts w:ascii="Century" w:hAnsi="Century" w:cs="Miriam" w:hint="eastAsia"/>
          <w:b/>
          <w:spacing w:val="0"/>
          <w:szCs w:val="24"/>
          <w:rtl/>
        </w:rPr>
        <w:t>בשאלות</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פתיחה</w:t>
      </w:r>
      <w:r w:rsidRPr="00C90C20">
        <w:rPr>
          <w:rFonts w:ascii="Century" w:hAnsi="Century" w:cs="Miriam"/>
          <w:b/>
          <w:spacing w:val="0"/>
          <w:szCs w:val="24"/>
          <w:rtl/>
        </w:rPr>
        <w:t xml:space="preserve"> </w:t>
      </w:r>
      <w:r w:rsidRPr="00C90C20">
        <w:rPr>
          <w:rFonts w:ascii="Century" w:hAnsi="Century" w:cs="Miriam" w:hint="eastAsia"/>
          <w:b/>
          <w:spacing w:val="0"/>
          <w:szCs w:val="24"/>
          <w:rtl/>
        </w:rPr>
        <w:t>בחקירה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Pr>
          <w:rFonts w:hint="cs"/>
          <w:rtl/>
        </w:rPr>
        <w:t>". עוד הובהר בתגובה, כי "</w:t>
      </w:r>
      <w:r w:rsidRPr="00C90C20">
        <w:rPr>
          <w:rFonts w:ascii="Century" w:hAnsi="Century" w:cs="Miriam" w:hint="eastAsia"/>
          <w:b/>
          <w:spacing w:val="0"/>
          <w:szCs w:val="24"/>
          <w:rtl/>
        </w:rPr>
        <w:t>אין</w:t>
      </w:r>
      <w:r w:rsidRPr="00C90C20">
        <w:rPr>
          <w:rFonts w:ascii="Century" w:hAnsi="Century" w:cs="Miriam"/>
          <w:b/>
          <w:spacing w:val="0"/>
          <w:szCs w:val="24"/>
          <w:rtl/>
        </w:rPr>
        <w:t xml:space="preserve"> </w:t>
      </w:r>
      <w:r w:rsidRPr="00C90C20">
        <w:rPr>
          <w:rFonts w:ascii="Century" w:hAnsi="Century" w:cs="Miriam" w:hint="eastAsia"/>
          <w:b/>
          <w:spacing w:val="0"/>
          <w:szCs w:val="24"/>
          <w:rtl/>
        </w:rPr>
        <w:t>בנסיבות</w:t>
      </w:r>
      <w:r w:rsidRPr="00C90C20">
        <w:rPr>
          <w:rFonts w:ascii="Century" w:hAnsi="Century" w:cs="Miriam"/>
          <w:b/>
          <w:spacing w:val="0"/>
          <w:szCs w:val="24"/>
          <w:rtl/>
        </w:rPr>
        <w:t xml:space="preserve"> </w:t>
      </w:r>
      <w:r w:rsidRPr="00C90C20">
        <w:rPr>
          <w:rFonts w:ascii="Century" w:hAnsi="Century" w:cs="Miriam" w:hint="eastAsia"/>
          <w:b/>
          <w:spacing w:val="0"/>
          <w:szCs w:val="24"/>
          <w:rtl/>
        </w:rPr>
        <w:t>העניין</w:t>
      </w:r>
      <w:r w:rsidRPr="00C90C20">
        <w:rPr>
          <w:rFonts w:ascii="Century" w:hAnsi="Century" w:cs="Miriam"/>
          <w:b/>
          <w:spacing w:val="0"/>
          <w:szCs w:val="24"/>
          <w:rtl/>
        </w:rPr>
        <w:t xml:space="preserve"> </w:t>
      </w:r>
      <w:r w:rsidRPr="00C90C20">
        <w:rPr>
          <w:rFonts w:ascii="Century" w:hAnsi="Century" w:cs="Miriam" w:hint="eastAsia"/>
          <w:b/>
          <w:spacing w:val="0"/>
          <w:szCs w:val="24"/>
          <w:rtl/>
        </w:rPr>
        <w:t>בסיס</w:t>
      </w:r>
      <w:r w:rsidRPr="00C90C20">
        <w:rPr>
          <w:rFonts w:ascii="Century" w:hAnsi="Century" w:cs="Miriam"/>
          <w:b/>
          <w:spacing w:val="0"/>
          <w:szCs w:val="24"/>
          <w:rtl/>
        </w:rPr>
        <w:t xml:space="preserve"> </w:t>
      </w:r>
      <w:r w:rsidRPr="00C90C20">
        <w:rPr>
          <w:rFonts w:ascii="Century" w:hAnsi="Century" w:cs="Miriam" w:hint="eastAsia"/>
          <w:b/>
          <w:spacing w:val="0"/>
          <w:szCs w:val="24"/>
          <w:rtl/>
        </w:rPr>
        <w:t>מספק</w:t>
      </w:r>
      <w:r w:rsidRPr="00C90C20">
        <w:rPr>
          <w:rFonts w:ascii="Century" w:hAnsi="Century" w:cs="Miriam"/>
          <w:b/>
          <w:spacing w:val="0"/>
          <w:szCs w:val="24"/>
          <w:rtl/>
        </w:rPr>
        <w:t xml:space="preserve"> </w:t>
      </w:r>
      <w:r w:rsidRPr="00C90C20">
        <w:rPr>
          <w:rFonts w:ascii="Century" w:hAnsi="Century" w:cs="Miriam" w:hint="eastAsia"/>
          <w:b/>
          <w:spacing w:val="0"/>
          <w:szCs w:val="24"/>
          <w:rtl/>
        </w:rPr>
        <w:t>לשימוש</w:t>
      </w:r>
      <w:r w:rsidRPr="00C90C20">
        <w:rPr>
          <w:rFonts w:ascii="Century" w:hAnsi="Century" w:cs="Miriam"/>
          <w:b/>
          <w:spacing w:val="0"/>
          <w:szCs w:val="24"/>
          <w:rtl/>
        </w:rPr>
        <w:t xml:space="preserve"> </w:t>
      </w:r>
      <w:r w:rsidRPr="00C90C20">
        <w:rPr>
          <w:rFonts w:ascii="Century" w:hAnsi="Century" w:cs="Miriam" w:hint="eastAsia"/>
          <w:b/>
          <w:spacing w:val="0"/>
          <w:szCs w:val="24"/>
          <w:rtl/>
        </w:rPr>
        <w:t>בכלים</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חקירה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sidRPr="00C90C20">
        <w:rPr>
          <w:rFonts w:ascii="Century" w:hAnsi="Century" w:cs="Miriam"/>
          <w:b/>
          <w:spacing w:val="0"/>
          <w:szCs w:val="24"/>
          <w:rtl/>
        </w:rPr>
        <w:t xml:space="preserve"> </w:t>
      </w:r>
      <w:r w:rsidRPr="00C90C20">
        <w:rPr>
          <w:rFonts w:ascii="Century" w:hAnsi="Century" w:cs="Miriam" w:hint="eastAsia"/>
          <w:b/>
          <w:spacing w:val="0"/>
          <w:szCs w:val="24"/>
          <w:rtl/>
        </w:rPr>
        <w:t>לבירור</w:t>
      </w:r>
      <w:r w:rsidRPr="00C90C20">
        <w:rPr>
          <w:rFonts w:ascii="Century" w:hAnsi="Century" w:cs="Miriam"/>
          <w:b/>
          <w:spacing w:val="0"/>
          <w:szCs w:val="24"/>
          <w:rtl/>
        </w:rPr>
        <w:t xml:space="preserve"> </w:t>
      </w:r>
      <w:r w:rsidRPr="00C90C20">
        <w:rPr>
          <w:rFonts w:ascii="Century" w:hAnsi="Century" w:cs="Miriam" w:hint="eastAsia"/>
          <w:b/>
          <w:spacing w:val="0"/>
          <w:szCs w:val="24"/>
          <w:rtl/>
        </w:rPr>
        <w:t>המקרה</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בתגובת היועצת שוב הוסבר, כי בנסיבות העניין הייחודיות </w:t>
      </w:r>
      <w:r w:rsidRPr="00F45C46">
        <w:rPr>
          <w:rFonts w:hint="cs"/>
          <w:rtl/>
        </w:rPr>
        <w:t xml:space="preserve">מסירת המידע </w:t>
      </w:r>
      <w:r>
        <w:rPr>
          <w:rFonts w:hint="cs"/>
          <w:rtl/>
        </w:rPr>
        <w:t>לא גרמה ל</w:t>
      </w:r>
      <w:r w:rsidRPr="00F45C46">
        <w:rPr>
          <w:rFonts w:hint="cs"/>
          <w:rtl/>
        </w:rPr>
        <w:t>פגיעה</w:t>
      </w:r>
      <w:r>
        <w:rPr>
          <w:rFonts w:hint="cs"/>
          <w:rtl/>
        </w:rPr>
        <w:t xml:space="preserve"> או</w:t>
      </w:r>
      <w:r w:rsidRPr="00F45C46">
        <w:rPr>
          <w:rFonts w:hint="cs"/>
          <w:rtl/>
        </w:rPr>
        <w:t xml:space="preserve"> </w:t>
      </w:r>
      <w:r>
        <w:rPr>
          <w:rFonts w:hint="cs"/>
          <w:rtl/>
        </w:rPr>
        <w:t>לפוטנציאל לפגיעה באינטרסים חיוניים, בעוצמה המצדיקה את בירור מקור ההדלפה בחקירה פלילית. שכן, כאמור,</w:t>
      </w:r>
      <w:r w:rsidRPr="00F45C46">
        <w:rPr>
          <w:rFonts w:hint="cs"/>
          <w:rtl/>
        </w:rPr>
        <w:t xml:space="preserve"> מדובר </w:t>
      </w:r>
      <w:r>
        <w:rPr>
          <w:rFonts w:hint="cs"/>
          <w:rtl/>
        </w:rPr>
        <w:t>ב</w:t>
      </w:r>
      <w:r w:rsidRPr="00F45C46">
        <w:rPr>
          <w:rFonts w:hint="cs"/>
          <w:rtl/>
        </w:rPr>
        <w:t xml:space="preserve">ראיות גלויות שפרסומן נעשה לאחר ההחלטה להפסיק את החקירה בנדון, לאחר הסרת צו איסור הפרסום מעל המשך החקירה, ובד בבד עם הגשת החומרים לבית המשפט ושליחתם לצוותי ההגנה. בהקשר זה הוער, כי בניגוד לטענת העותר, ההחלטה </w:t>
      </w:r>
      <w:r>
        <w:rPr>
          <w:rFonts w:hint="cs"/>
          <w:rtl/>
        </w:rPr>
        <w:t xml:space="preserve">על סיום פעולות החקירה בנדון </w:t>
      </w:r>
      <w:r w:rsidRPr="00F45C46">
        <w:rPr>
          <w:rFonts w:hint="cs"/>
          <w:rtl/>
        </w:rPr>
        <w:t>התקבלה</w:t>
      </w:r>
      <w:r>
        <w:rPr>
          <w:rFonts w:hint="cs"/>
          <w:rtl/>
        </w:rPr>
        <w:t xml:space="preserve"> </w:t>
      </w:r>
      <w:r w:rsidRPr="00C90C20">
        <w:rPr>
          <w:rFonts w:ascii="Century" w:hAnsi="Century" w:hint="eastAsia"/>
          <w:rtl/>
        </w:rPr>
        <w:t>מוקדם</w:t>
      </w:r>
      <w:r w:rsidRPr="00C90C20">
        <w:rPr>
          <w:rFonts w:ascii="Century" w:hAnsi="Century"/>
          <w:rtl/>
        </w:rPr>
        <w:t xml:space="preserve"> </w:t>
      </w:r>
      <w:r w:rsidRPr="00C90C20">
        <w:rPr>
          <w:rFonts w:ascii="Century" w:hAnsi="Century" w:hint="eastAsia"/>
          <w:rtl/>
        </w:rPr>
        <w:t>יותר</w:t>
      </w:r>
      <w:r w:rsidRPr="00C90C20">
        <w:rPr>
          <w:rFonts w:ascii="Century" w:hAnsi="Century"/>
          <w:rtl/>
        </w:rPr>
        <w:t xml:space="preserve"> </w:t>
      </w:r>
      <w:r w:rsidRPr="00C90C20">
        <w:rPr>
          <w:rFonts w:ascii="Century" w:hAnsi="Century" w:hint="eastAsia"/>
          <w:rtl/>
        </w:rPr>
        <w:t>ובסמוך</w:t>
      </w:r>
      <w:r w:rsidRPr="00F27556">
        <w:rPr>
          <w:rFonts w:hint="cs"/>
          <w:rtl/>
        </w:rPr>
        <w:t xml:space="preserve"> </w:t>
      </w:r>
      <w:r w:rsidRPr="00F45C46">
        <w:rPr>
          <w:rFonts w:hint="cs"/>
          <w:rtl/>
        </w:rPr>
        <w:t>לחשיפת החומרים.</w:t>
      </w:r>
      <w:r>
        <w:rPr>
          <w:rFonts w:hint="cs"/>
          <w:rtl/>
        </w:rPr>
        <w:t xml:space="preserve"> היועצת תמכה טענותיה גם בפסיקת בית משפט זה, שלא מצא עילה להתערבות במקרים אחרים שבהם הוחלט כי אין פגיעה באינטרס חיוני בעוצמה ובמידה המצדיקה פתיחה בחקירה פלילית </w:t>
      </w:r>
      <w:r>
        <w:rPr>
          <w:rtl/>
        </w:rPr>
        <w:t>–</w:t>
      </w:r>
      <w:r>
        <w:rPr>
          <w:rFonts w:hint="cs"/>
          <w:rtl/>
        </w:rPr>
        <w:t xml:space="preserve"> לרבות במקרה של פרסום מצגת סודית מתוך ישיבת הקבינט המדיני-ביטחוני בימי פעילות מבצעית ברצועת עזה (בג"ץ 6241/14 </w:t>
      </w:r>
      <w:r w:rsidRPr="00C90C20">
        <w:rPr>
          <w:rFonts w:ascii="Century" w:hAnsi="Century" w:cs="Miriam" w:hint="eastAsia"/>
          <w:b/>
          <w:spacing w:val="0"/>
          <w:szCs w:val="24"/>
          <w:rtl/>
        </w:rPr>
        <w:t>התנועה</w:t>
      </w:r>
      <w:r w:rsidRPr="00C90C20">
        <w:rPr>
          <w:rFonts w:ascii="Century" w:hAnsi="Century" w:cs="Miriam"/>
          <w:b/>
          <w:spacing w:val="0"/>
          <w:szCs w:val="24"/>
          <w:rtl/>
        </w:rPr>
        <w:t xml:space="preserve"> </w:t>
      </w:r>
      <w:r w:rsidRPr="00C90C20">
        <w:rPr>
          <w:rFonts w:ascii="Century" w:hAnsi="Century" w:cs="Miriam" w:hint="eastAsia"/>
          <w:b/>
          <w:spacing w:val="0"/>
          <w:szCs w:val="24"/>
          <w:rtl/>
        </w:rPr>
        <w:t>למען</w:t>
      </w:r>
      <w:r w:rsidRPr="00C90C20">
        <w:rPr>
          <w:rFonts w:ascii="Century" w:hAnsi="Century" w:cs="Miriam"/>
          <w:b/>
          <w:spacing w:val="0"/>
          <w:szCs w:val="24"/>
          <w:rtl/>
        </w:rPr>
        <w:t xml:space="preserve"> </w:t>
      </w:r>
      <w:r w:rsidRPr="00C90C20">
        <w:rPr>
          <w:rFonts w:ascii="Century" w:hAnsi="Century" w:cs="Miriam" w:hint="eastAsia"/>
          <w:b/>
          <w:spacing w:val="0"/>
          <w:szCs w:val="24"/>
          <w:rtl/>
        </w:rPr>
        <w:t>איכות</w:t>
      </w:r>
      <w:r w:rsidRPr="00C90C20">
        <w:rPr>
          <w:rFonts w:ascii="Century" w:hAnsi="Century" w:cs="Miriam"/>
          <w:b/>
          <w:spacing w:val="0"/>
          <w:szCs w:val="24"/>
          <w:rtl/>
        </w:rPr>
        <w:t xml:space="preserve"> </w:t>
      </w:r>
      <w:r w:rsidRPr="00C90C20">
        <w:rPr>
          <w:rFonts w:ascii="Century" w:hAnsi="Century" w:cs="Miriam" w:hint="eastAsia"/>
          <w:b/>
          <w:spacing w:val="0"/>
          <w:szCs w:val="24"/>
          <w:rtl/>
        </w:rPr>
        <w:t>השלטון</w:t>
      </w:r>
      <w:r w:rsidRPr="00C90C20">
        <w:rPr>
          <w:rFonts w:ascii="Century" w:hAnsi="Century" w:cs="Miriam"/>
          <w:b/>
          <w:spacing w:val="0"/>
          <w:szCs w:val="24"/>
          <w:rtl/>
        </w:rPr>
        <w:t xml:space="preserve"> </w:t>
      </w:r>
      <w:r w:rsidRPr="00C90C20">
        <w:rPr>
          <w:rFonts w:ascii="Century" w:hAnsi="Century" w:cs="Miriam" w:hint="eastAsia"/>
          <w:b/>
          <w:spacing w:val="0"/>
          <w:szCs w:val="24"/>
          <w:rtl/>
        </w:rPr>
        <w:t>בישראל</w:t>
      </w:r>
      <w:r w:rsidRPr="00C90C20">
        <w:rPr>
          <w:rFonts w:ascii="Century" w:hAnsi="Century" w:cs="Miriam"/>
          <w:b/>
          <w:spacing w:val="0"/>
          <w:szCs w:val="24"/>
          <w:rtl/>
        </w:rPr>
        <w:t xml:space="preserve"> </w:t>
      </w:r>
      <w:r w:rsidRPr="00C90C20">
        <w:rPr>
          <w:rFonts w:ascii="Century" w:hAnsi="Century" w:cs="Miriam" w:hint="eastAsia"/>
          <w:b/>
          <w:spacing w:val="0"/>
          <w:szCs w:val="24"/>
          <w:rtl/>
        </w:rPr>
        <w:t>נ</w:t>
      </w:r>
      <w:r w:rsidRPr="00C90C20">
        <w:rPr>
          <w:rFonts w:ascii="Century" w:hAnsi="Century" w:cs="Miriam"/>
          <w:b/>
          <w:spacing w:val="0"/>
          <w:szCs w:val="24"/>
          <w:rtl/>
        </w:rPr>
        <w:t xml:space="preserve">' </w:t>
      </w:r>
      <w:r w:rsidRPr="00C90C20">
        <w:rPr>
          <w:rFonts w:ascii="Century" w:hAnsi="Century" w:cs="Miriam" w:hint="eastAsia"/>
          <w:b/>
          <w:spacing w:val="0"/>
          <w:szCs w:val="24"/>
          <w:rtl/>
        </w:rPr>
        <w:t>היועץ</w:t>
      </w:r>
      <w:r w:rsidRPr="00C90C20">
        <w:rPr>
          <w:rFonts w:ascii="Century" w:hAnsi="Century" w:cs="Miriam"/>
          <w:b/>
          <w:spacing w:val="0"/>
          <w:szCs w:val="24"/>
          <w:rtl/>
        </w:rPr>
        <w:t xml:space="preserve"> </w:t>
      </w:r>
      <w:r w:rsidRPr="00C90C20">
        <w:rPr>
          <w:rFonts w:ascii="Century" w:hAnsi="Century" w:cs="Miriam" w:hint="eastAsia"/>
          <w:b/>
          <w:spacing w:val="0"/>
          <w:szCs w:val="24"/>
          <w:rtl/>
        </w:rPr>
        <w:t>המשפטי</w:t>
      </w:r>
      <w:r w:rsidRPr="00C90C20">
        <w:rPr>
          <w:rFonts w:ascii="Century" w:hAnsi="Century" w:cs="Miriam"/>
          <w:b/>
          <w:spacing w:val="0"/>
          <w:szCs w:val="24"/>
          <w:rtl/>
        </w:rPr>
        <w:t xml:space="preserve"> </w:t>
      </w:r>
      <w:r w:rsidRPr="00C90C20">
        <w:rPr>
          <w:rFonts w:ascii="Century" w:hAnsi="Century" w:cs="Miriam" w:hint="eastAsia"/>
          <w:b/>
          <w:spacing w:val="0"/>
          <w:szCs w:val="24"/>
          <w:rtl/>
        </w:rPr>
        <w:t>לממשלה</w:t>
      </w:r>
      <w:r w:rsidRPr="00760FA4">
        <w:rPr>
          <w:rFonts w:hint="cs"/>
          <w:rtl/>
        </w:rPr>
        <w:t xml:space="preserve"> </w:t>
      </w:r>
      <w:r>
        <w:rPr>
          <w:rFonts w:hint="cs"/>
          <w:rtl/>
        </w:rPr>
        <w:t>(05.05.2016)).</w:t>
      </w:r>
    </w:p>
    <w:p w:rsidR="00DB6151" w:rsidRPr="00F45C46"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אשר לטענה בדבר הפגיעה בזכותו של העותר להליך הוגן הובהר, כי החומרים לא פורסמו בזמן גביית גרסאות או עדויות, באופן שעלול היה לזהם את השלמת החקירה. משכך נטען, כי בהתאם לפסיקה, לרבות בעניין </w:t>
      </w:r>
      <w:proofErr w:type="spellStart"/>
      <w:r w:rsidRPr="00C90C20">
        <w:rPr>
          <w:rFonts w:ascii="Century" w:hAnsi="Century" w:cs="Miriam" w:hint="eastAsia"/>
          <w:b/>
          <w:spacing w:val="0"/>
          <w:szCs w:val="24"/>
          <w:rtl/>
        </w:rPr>
        <w:t>אלוביץ</w:t>
      </w:r>
      <w:proofErr w:type="spellEnd"/>
      <w:r w:rsidRPr="00C90C20">
        <w:rPr>
          <w:rFonts w:ascii="Century" w:hAnsi="Century" w:cs="Miriam"/>
          <w:b/>
          <w:spacing w:val="0"/>
          <w:szCs w:val="24"/>
          <w:rtl/>
        </w:rPr>
        <w:t>'</w:t>
      </w:r>
      <w:r>
        <w:rPr>
          <w:rFonts w:hint="cs"/>
          <w:rtl/>
        </w:rPr>
        <w:t>, חזקה על בית המשפט שיכריע בהליך באופן מקצועי וענייני, והמקום לבירור טענות בדבר השלכות הפרסום הוא בהליך הפלילי גופו.</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במישור תוחלת החקירה שבה היועצת בתגובתה על האמור בהחלטה, תוך שהיא מדגישה כי התוחלת נמוכה בנסיבות העניין. בהקשר זה הוער כי חרף טענת העותר, לא ניתן לדעת האם העתק החשבונית שפורסם על-ידי מערכת תכנית התחקירים 'עובדה', הוא מתוך תיק החקירה, אם לאו. אשר ל'מסקנתו החד משמעית' של העותר בדבר מסירת המידע על-ידי עובד ציבור, השיבה היועצת כי מסקנה זו "</w:t>
      </w:r>
      <w:r w:rsidRPr="00C90C20">
        <w:rPr>
          <w:rFonts w:ascii="Century" w:hAnsi="Century" w:cs="Miriam" w:hint="eastAsia"/>
          <w:b/>
          <w:spacing w:val="0"/>
          <w:szCs w:val="24"/>
          <w:rtl/>
        </w:rPr>
        <w:t>מתעלמת</w:t>
      </w:r>
      <w:r w:rsidRPr="00C90C20">
        <w:rPr>
          <w:rFonts w:ascii="Century" w:hAnsi="Century" w:cs="Miriam"/>
          <w:b/>
          <w:spacing w:val="0"/>
          <w:szCs w:val="24"/>
          <w:rtl/>
        </w:rPr>
        <w:t xml:space="preserve"> </w:t>
      </w:r>
      <w:r w:rsidRPr="00C90C20">
        <w:rPr>
          <w:rFonts w:ascii="Century" w:hAnsi="Century" w:cs="Miriam" w:hint="eastAsia"/>
          <w:b/>
          <w:spacing w:val="0"/>
          <w:szCs w:val="24"/>
          <w:rtl/>
        </w:rPr>
        <w:t>מכך</w:t>
      </w:r>
      <w:r w:rsidRPr="00C90C20">
        <w:rPr>
          <w:rFonts w:ascii="Century" w:hAnsi="Century" w:cs="Miriam"/>
          <w:b/>
          <w:spacing w:val="0"/>
          <w:szCs w:val="24"/>
          <w:rtl/>
        </w:rPr>
        <w:t xml:space="preserve"> שאין מדובר במסמך שיצרו רשויות האכיפה, וכי גורמים שאינם עובדי מדינה היו מעורבים ברכישת </w:t>
      </w:r>
      <w:r w:rsidRPr="00C90C20">
        <w:rPr>
          <w:rFonts w:ascii="Century" w:hAnsi="Century" w:cs="Miriam"/>
          <w:b/>
          <w:spacing w:val="0"/>
          <w:szCs w:val="24"/>
          <w:rtl/>
        </w:rPr>
        <w:lastRenderedPageBreak/>
        <w:t>התכשיט, והיו חשופים לקיום החקירה אודותיו ואפשר שאף העבירו את המידע למקורביהם</w:t>
      </w:r>
      <w:r>
        <w:rPr>
          <w:rFonts w:hint="cs"/>
          <w:rtl/>
        </w:rPr>
        <w:t xml:space="preserve">". היועצת מפנה בהקשר זה להודעות שנגבו ממר </w:t>
      </w:r>
      <w:proofErr w:type="spellStart"/>
      <w:r>
        <w:rPr>
          <w:rFonts w:hint="cs"/>
          <w:rtl/>
        </w:rPr>
        <w:t>מילצ'ן</w:t>
      </w:r>
      <w:proofErr w:type="spellEnd"/>
      <w:r>
        <w:rPr>
          <w:rFonts w:hint="cs"/>
          <w:rtl/>
        </w:rPr>
        <w:t xml:space="preserve"> וממר </w:t>
      </w:r>
      <w:proofErr w:type="spellStart"/>
      <w:r>
        <w:rPr>
          <w:rFonts w:hint="cs"/>
          <w:rtl/>
        </w:rPr>
        <w:t>פאקר</w:t>
      </w:r>
      <w:proofErr w:type="spellEnd"/>
      <w:r>
        <w:rPr>
          <w:rFonts w:hint="cs"/>
          <w:rtl/>
        </w:rPr>
        <w:t xml:space="preserve"> ובפרט לעובדה שעוזרו של </w:t>
      </w:r>
      <w:proofErr w:type="spellStart"/>
      <w:r>
        <w:rPr>
          <w:rFonts w:hint="cs"/>
          <w:rtl/>
        </w:rPr>
        <w:t>פאקר</w:t>
      </w:r>
      <w:proofErr w:type="spellEnd"/>
      <w:r>
        <w:rPr>
          <w:rFonts w:hint="cs"/>
          <w:rtl/>
        </w:rPr>
        <w:t xml:space="preserve"> הוא זה אשר רכש את הצמיד בפועל; שהכיתוב </w:t>
      </w:r>
      <w:r>
        <w:rPr>
          <w:rFonts w:ascii="Century" w:hAnsi="Century" w:cs="Miriam"/>
          <w:bCs/>
          <w:spacing w:val="0"/>
          <w:szCs w:val="24"/>
        </w:rPr>
        <w:t>"</w:t>
      </w:r>
      <w:r w:rsidRPr="00024C83">
        <w:rPr>
          <w:rFonts w:ascii="Century" w:hAnsi="Century" w:cs="Miriam"/>
          <w:bCs/>
          <w:spacing w:val="0"/>
          <w:szCs w:val="24"/>
        </w:rPr>
        <w:t>Guest gift</w:t>
      </w:r>
      <w:r>
        <w:rPr>
          <w:rFonts w:ascii="Century" w:hAnsi="Century" w:cs="Miriam"/>
          <w:bCs/>
          <w:spacing w:val="0"/>
          <w:szCs w:val="24"/>
        </w:rPr>
        <w:t>"</w:t>
      </w:r>
      <w:r>
        <w:rPr>
          <w:rFonts w:ascii="Century" w:hAnsi="Century" w:cs="Miriam" w:hint="cs"/>
          <w:bCs/>
          <w:spacing w:val="0"/>
          <w:szCs w:val="24"/>
          <w:rtl/>
        </w:rPr>
        <w:t xml:space="preserve"> </w:t>
      </w:r>
      <w:r>
        <w:rPr>
          <w:rFonts w:hint="cs"/>
          <w:rtl/>
        </w:rPr>
        <w:t>הוא בכתב ידו של העוזר; וכי העוזר הוא מי שמסר את החשבונית לגב' קליין. משכך, נטען, כי הכיתוב שהופיע על העתק החשבונית שפורסם אמנם שולל את האפשרות כי מדובר בהעתק שהונפק ישירות בחנות ממנה נרכש הצמיד, אולם הוא אינו שולל, בצורה מוחלטת, את קבלתו מאחרים, שברי כי אינם עובדי ציבור. ביחס לטענה כי צילום החשבונית שפורסם נחתך, כדי לא לחשוף את הסימון שהתבצע על-ידי היחידה החוקרת, הוער, כי מדובר בהנחת המבוקש מאחר שצילום החשבונית נחתך גם באזורים אחרים, ולא ניתן להסיק מאופן עריכת התמונה ממצא חד משמעי.</w:t>
      </w:r>
    </w:p>
    <w:p w:rsidR="00DB6151" w:rsidRPr="00AC7174"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בתגובה אף הודגשה העובדה כי הבדיקה שנערכה, לבקשת היועצת, העלתה כי עשרות עובדי ציבור היו חשופים לפעולות החקירה בכלל וכ-35 עובדי ציבור היו בעלי נגישות לחשבונית, וכי "</w:t>
      </w:r>
      <w:r w:rsidRPr="00C90C20">
        <w:rPr>
          <w:rFonts w:ascii="Century" w:hAnsi="Century" w:cs="Miriam" w:hint="eastAsia"/>
          <w:b/>
          <w:spacing w:val="0"/>
          <w:szCs w:val="24"/>
          <w:rtl/>
        </w:rPr>
        <w:t>אפשר</w:t>
      </w:r>
      <w:r w:rsidRPr="00C90C20">
        <w:rPr>
          <w:rFonts w:ascii="Century" w:hAnsi="Century" w:cs="Miriam"/>
          <w:b/>
          <w:spacing w:val="0"/>
          <w:szCs w:val="24"/>
          <w:rtl/>
        </w:rPr>
        <w:t xml:space="preserve"> </w:t>
      </w:r>
      <w:r w:rsidRPr="00C90C20">
        <w:rPr>
          <w:rFonts w:ascii="Century" w:hAnsi="Century" w:cs="Miriam" w:hint="eastAsia"/>
          <w:b/>
          <w:spacing w:val="0"/>
          <w:szCs w:val="24"/>
          <w:rtl/>
        </w:rPr>
        <w:t>שגורמים</w:t>
      </w:r>
      <w:r w:rsidRPr="00C90C20">
        <w:rPr>
          <w:rFonts w:ascii="Century" w:hAnsi="Century" w:cs="Miriam"/>
          <w:b/>
          <w:spacing w:val="0"/>
          <w:szCs w:val="24"/>
          <w:rtl/>
        </w:rPr>
        <w:t xml:space="preserve"> </w:t>
      </w:r>
      <w:r w:rsidRPr="00C90C20">
        <w:rPr>
          <w:rFonts w:ascii="Century" w:hAnsi="Century" w:cs="Miriam" w:hint="eastAsia"/>
          <w:b/>
          <w:spacing w:val="0"/>
          <w:szCs w:val="24"/>
          <w:rtl/>
        </w:rPr>
        <w:t>נוספים</w:t>
      </w:r>
      <w:r w:rsidRPr="00C90C20">
        <w:rPr>
          <w:rFonts w:ascii="Century" w:hAnsi="Century" w:cs="Miriam"/>
          <w:b/>
          <w:spacing w:val="0"/>
          <w:szCs w:val="24"/>
          <w:rtl/>
        </w:rPr>
        <w:t xml:space="preserve"> </w:t>
      </w:r>
      <w:r w:rsidRPr="00C90C20">
        <w:rPr>
          <w:rFonts w:ascii="Century" w:hAnsi="Century" w:cs="Miriam" w:hint="eastAsia"/>
          <w:b/>
          <w:spacing w:val="0"/>
          <w:szCs w:val="24"/>
          <w:rtl/>
        </w:rPr>
        <w:t>אשר</w:t>
      </w:r>
      <w:r w:rsidRPr="00C90C20">
        <w:rPr>
          <w:rFonts w:ascii="Century" w:hAnsi="Century" w:cs="Miriam"/>
          <w:b/>
          <w:spacing w:val="0"/>
          <w:szCs w:val="24"/>
          <w:rtl/>
        </w:rPr>
        <w:t xml:space="preserve"> </w:t>
      </w:r>
      <w:r w:rsidRPr="00C90C20">
        <w:rPr>
          <w:rFonts w:ascii="Century" w:hAnsi="Century" w:cs="Miriam" w:hint="eastAsia"/>
          <w:b/>
          <w:spacing w:val="0"/>
          <w:szCs w:val="24"/>
          <w:rtl/>
        </w:rPr>
        <w:t>עובדים</w:t>
      </w:r>
      <w:r w:rsidRPr="00C90C20">
        <w:rPr>
          <w:rFonts w:ascii="Century" w:hAnsi="Century" w:cs="Miriam"/>
          <w:b/>
          <w:spacing w:val="0"/>
          <w:szCs w:val="24"/>
          <w:rtl/>
        </w:rPr>
        <w:t xml:space="preserve"> </w:t>
      </w:r>
      <w:r w:rsidRPr="00C90C20">
        <w:rPr>
          <w:rFonts w:ascii="Century" w:hAnsi="Century" w:cs="Miriam" w:hint="eastAsia"/>
          <w:b/>
          <w:spacing w:val="0"/>
          <w:szCs w:val="24"/>
          <w:rtl/>
        </w:rPr>
        <w:t>בגופים</w:t>
      </w:r>
      <w:r w:rsidRPr="00C90C20">
        <w:rPr>
          <w:rFonts w:ascii="Century" w:hAnsi="Century" w:cs="Miriam"/>
          <w:b/>
          <w:spacing w:val="0"/>
          <w:szCs w:val="24"/>
          <w:rtl/>
        </w:rPr>
        <w:t xml:space="preserve"> </w:t>
      </w:r>
      <w:r w:rsidRPr="00C90C20">
        <w:rPr>
          <w:rFonts w:ascii="Century" w:hAnsi="Century" w:cs="Miriam" w:hint="eastAsia"/>
          <w:b/>
          <w:spacing w:val="0"/>
          <w:szCs w:val="24"/>
          <w:rtl/>
        </w:rPr>
        <w:t>הרלוונטיים</w:t>
      </w:r>
      <w:r w:rsidRPr="00C90C20">
        <w:rPr>
          <w:rFonts w:ascii="Century" w:hAnsi="Century" w:cs="Miriam"/>
          <w:b/>
          <w:spacing w:val="0"/>
          <w:szCs w:val="24"/>
          <w:rtl/>
        </w:rPr>
        <w:t xml:space="preserve"> </w:t>
      </w:r>
      <w:r w:rsidRPr="00C90C20">
        <w:rPr>
          <w:rFonts w:ascii="Century" w:hAnsi="Century" w:cs="Miriam" w:hint="eastAsia"/>
          <w:b/>
          <w:spacing w:val="0"/>
          <w:szCs w:val="24"/>
          <w:rtl/>
        </w:rPr>
        <w:t>היו</w:t>
      </w:r>
      <w:r w:rsidRPr="00C90C20">
        <w:rPr>
          <w:rFonts w:ascii="Century" w:hAnsi="Century" w:cs="Miriam"/>
          <w:b/>
          <w:spacing w:val="0"/>
          <w:szCs w:val="24"/>
          <w:rtl/>
        </w:rPr>
        <w:t xml:space="preserve"> </w:t>
      </w:r>
      <w:r w:rsidRPr="00C90C20">
        <w:rPr>
          <w:rFonts w:ascii="Century" w:hAnsi="Century" w:cs="Miriam" w:hint="eastAsia"/>
          <w:b/>
          <w:spacing w:val="0"/>
          <w:szCs w:val="24"/>
          <w:rtl/>
        </w:rPr>
        <w:t>נגישים</w:t>
      </w:r>
      <w:r w:rsidRPr="00C90C20">
        <w:rPr>
          <w:rFonts w:ascii="Century" w:hAnsi="Century" w:cs="Miriam"/>
          <w:b/>
          <w:spacing w:val="0"/>
          <w:szCs w:val="24"/>
          <w:rtl/>
        </w:rPr>
        <w:t xml:space="preserve"> </w:t>
      </w:r>
      <w:r w:rsidRPr="00C90C20">
        <w:rPr>
          <w:rFonts w:ascii="Century" w:hAnsi="Century" w:cs="Miriam" w:hint="eastAsia"/>
          <w:b/>
          <w:spacing w:val="0"/>
          <w:szCs w:val="24"/>
          <w:rtl/>
        </w:rPr>
        <w:t>לחומרים</w:t>
      </w:r>
      <w:r>
        <w:rPr>
          <w:rFonts w:hint="cs"/>
          <w:rtl/>
        </w:rPr>
        <w:t>". זאת ועוד הודגש, כי האפשרות לבצע פעולות חקירה מקדימות ומצמצמות נבחנה, אך נמצא כי לדבר היתכנות נמוכה בנסיבות העניין. זאת מכיוון שיש אפשרויות העתקה רבות ומגוונות שיש קושי להתחקות אחריהן, ולא מן הנמנע כי העתק מן החשבונית נעשה, מלכתחילה, כדין. עוד הוסבר, כי ההיתכנות הנמוכה לפעולות חקירה מקדימות נובעת גם מכך שיש קושי לבצע הערכה מי הגורם ממנו נכון להתחיל את החקירה, כך שלא תתבצע החשדת רבים מקום בו אין נגד מי מעובדי הציבור חשד אישי מבוסס. בהמשך לכך, שבה היועצת והדגישה את ההסדר שנקבע בהנחיית היועץ בכל הנוגע ליחס בין עוצמת הנזק ותוחלת החקירה למול החשדת הרבים, תוך חשש לפגיעה בשמם הטוב; עת שהיא סומכת עמדתה בהקשר זה גם על פסיקת בית המשפט, בנוגע לאיזון העדין שיש לקיים בין האינטרס הציבורי של חקר האמת וזכותם החוקתית של נבדקים לפרטיות.</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יתר על כן הוזכר, כי האפשרות לפתוח בחקירה ביחס לאנשי תקשורת, כפי שהציע העותר, מעוררת מורכבות בשל החיסיון העיתונאי העומד להם תוך שהוער כי טענת העותר בהקשר זה, כאילו החיסיון משמש להגנה על עובדי ציבור </w:t>
      </w:r>
      <w:r>
        <w:rPr>
          <w:rtl/>
        </w:rPr>
        <w:t>–</w:t>
      </w:r>
      <w:r>
        <w:rPr>
          <w:rFonts w:hint="cs"/>
          <w:rtl/>
        </w:rPr>
        <w:t xml:space="preserve"> שגויה, מאחר שהחיסיון נועד להגן גם על חופש הביטוי של העיתונאי וגם על זכות הציבור לדעת. עוד הוטעם, כאמור אף בהנחיית היועץ, כי בקשה להסיר חיסיון עיתונאי נעשית במקרים חריגים שבחריגים, וכי גם בקשה לצו עריכת מחקר תקשורת לעיתונאי היא חריגה ביותר. עניינו של העותר, כך הוסבר, לא בא בגדר מקרים חריגים אלה, בשים לב למידת הפגיעה הנמוכה באינטרסים חיוניים שנלוותה לפרסום החומרים.</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lastRenderedPageBreak/>
        <w:t xml:space="preserve">אחר דברים אלה, שבה היועצת על הכללים בדבר התערבותו המצומצמת של בית משפט זה בהחלטות רשויות אכיפת החוק בכלל, והיועצת המשפטית לממשלה בפרט; בשים לב לשיקול הדעת הרחב המסור לה בהחליטה על פתיחה בחקירה פלילית, לבטח בשים לב למתווה שנקבע הנחיית היועץ. בתוך כך הודגש, כי במקרה זה העותר לא הראה עילה להתערבות בהתאם לעילות המוכרות במשפט </w:t>
      </w:r>
      <w:proofErr w:type="spellStart"/>
      <w:r>
        <w:rPr>
          <w:rFonts w:hint="cs"/>
          <w:rtl/>
        </w:rPr>
        <w:t>המינהלי</w:t>
      </w:r>
      <w:proofErr w:type="spellEnd"/>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טרם סיכום התייחסה היועצת להחלטתה למנות גורם בכיר ובעל ניסיון בגופי הביטחון, לבחינת האפשרויות השונות להתמודדות עם התופעה של מסירת מידע שאסור בגילוי במבט צופה פני עתיד. זאת, לאור חשיבות הסוגיה בכלל, ובקשר עם אמון הציבור בפרט.</w:t>
      </w:r>
    </w:p>
    <w:p w:rsidR="00DB6151" w:rsidRPr="000802E8" w:rsidRDefault="00DB6151" w:rsidP="00DB6151">
      <w:pPr>
        <w:pStyle w:val="Ruller41"/>
        <w:overflowPunct/>
        <w:autoSpaceDE/>
        <w:autoSpaceDN/>
        <w:adjustRightInd/>
        <w:spacing w:before="240" w:after="240"/>
        <w:textAlignment w:val="auto"/>
        <w:rPr>
          <w:rFonts w:ascii="Century" w:hAnsi="Century" w:cs="Miriam"/>
          <w:b/>
          <w:spacing w:val="0"/>
          <w:szCs w:val="24"/>
        </w:rPr>
      </w:pPr>
      <w:r>
        <w:rPr>
          <w:rFonts w:ascii="Century" w:hAnsi="Century" w:cs="Miriam" w:hint="cs"/>
          <w:b/>
          <w:spacing w:val="0"/>
          <w:szCs w:val="24"/>
          <w:rtl/>
        </w:rPr>
        <w:t xml:space="preserve">ב.5. </w:t>
      </w:r>
      <w:r w:rsidRPr="000802E8">
        <w:rPr>
          <w:rFonts w:ascii="Century" w:hAnsi="Century" w:cs="Miriam" w:hint="cs"/>
          <w:b/>
          <w:spacing w:val="0"/>
          <w:szCs w:val="24"/>
          <w:rtl/>
        </w:rPr>
        <w:t>השלמת טיעון בעל-פה</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ביום 08.05.2023 התקיים דיון שני בהליך שבכותרת, זו הפעם ביחס לעתירה המתוקנת והתגובה לה. במסגרתו, שבו באי-כוח הצדדים על עיקר טענותיהם ואנו הערנו את שהערנו ודרשנו הבהרות משני הצדדים בנוגע לעמדותיהם.</w:t>
      </w:r>
    </w:p>
    <w:p w:rsidR="00DB6151" w:rsidRDefault="00DB6151" w:rsidP="00DB6151">
      <w:pPr>
        <w:pStyle w:val="Ruller41"/>
        <w:overflowPunct/>
        <w:autoSpaceDE/>
        <w:autoSpaceDN/>
        <w:adjustRightInd/>
        <w:spacing w:before="240" w:after="240"/>
        <w:textAlignment w:val="auto"/>
      </w:pPr>
      <w:r>
        <w:rPr>
          <w:rtl/>
        </w:rPr>
        <w:tab/>
      </w:r>
      <w:r>
        <w:rPr>
          <w:rFonts w:hint="cs"/>
          <w:rtl/>
        </w:rPr>
        <w:t>משתמו טיעוני הצדדים בכתב ובעל-פה, הגיעה העת להכרעתנו.</w:t>
      </w:r>
    </w:p>
    <w:p w:rsidR="00DB6151" w:rsidRPr="006C395E" w:rsidRDefault="00DB6151" w:rsidP="00DB6151">
      <w:pPr>
        <w:pStyle w:val="Ruller41"/>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ג. דיון והכרעה</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כמפורט לעיל, העותר מבקש כי נתערב בהחלטת היועצת שלא לפתוח בחקירה פלילית במקרה דנן. טרם הכרעה, ראיתי להקדים מספר מילים על אודות היקף ההתערבות של בית משפט זה בהחלטות מסוג זה, והתפתחות הפסיקה בנדון.</w:t>
      </w:r>
    </w:p>
    <w:p w:rsidR="00DB6151" w:rsidRDefault="00DB6151" w:rsidP="00DB6151">
      <w:pPr>
        <w:pStyle w:val="Ruller41"/>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 xml:space="preserve">ג.1. </w:t>
      </w:r>
      <w:r w:rsidRPr="009C0AEB">
        <w:rPr>
          <w:rFonts w:ascii="Century" w:hAnsi="Century" w:cs="Miriam" w:hint="cs"/>
          <w:b/>
          <w:spacing w:val="0"/>
          <w:szCs w:val="24"/>
          <w:rtl/>
        </w:rPr>
        <w:t>ביקורת שיפוטית על החלטות היועץ המשפטי לממשלה</w:t>
      </w:r>
      <w:r w:rsidRPr="00657132">
        <w:rPr>
          <w:rFonts w:ascii="Century" w:hAnsi="Century" w:cs="Miriam" w:hint="cs"/>
          <w:b/>
          <w:spacing w:val="0"/>
          <w:szCs w:val="24"/>
          <w:rtl/>
        </w:rPr>
        <w:t xml:space="preserve"> בתחום הפלילי</w:t>
      </w:r>
    </w:p>
    <w:p w:rsidR="00DB6151" w:rsidRPr="00D70396" w:rsidRDefault="00DB6151" w:rsidP="00DB6151">
      <w:pPr>
        <w:pStyle w:val="Ruller41"/>
        <w:numPr>
          <w:ilvl w:val="0"/>
          <w:numId w:val="13"/>
        </w:numPr>
        <w:overflowPunct/>
        <w:autoSpaceDE/>
        <w:autoSpaceDN/>
        <w:adjustRightInd/>
        <w:spacing w:before="240" w:after="240"/>
        <w:ind w:left="0" w:firstLine="0"/>
        <w:textAlignment w:val="auto"/>
        <w:rPr>
          <w:rFonts w:ascii="Century" w:hAnsi="Century"/>
        </w:rPr>
      </w:pPr>
      <w:r>
        <w:rPr>
          <w:rFonts w:hint="cs"/>
          <w:rtl/>
        </w:rPr>
        <w:t xml:space="preserve">כידוע, ליועץ המשפטי או ליועצת המשפטית לממשלה (להלן גם: </w:t>
      </w:r>
      <w:r w:rsidRPr="00C90C20">
        <w:rPr>
          <w:rFonts w:ascii="Century" w:hAnsi="Century" w:cs="Miriam" w:hint="eastAsia"/>
          <w:b/>
          <w:spacing w:val="0"/>
          <w:szCs w:val="24"/>
          <w:rtl/>
        </w:rPr>
        <w:t>היועמ</w:t>
      </w:r>
      <w:r w:rsidRPr="00C90C20">
        <w:rPr>
          <w:rFonts w:ascii="Century" w:hAnsi="Century" w:cs="Miriam"/>
          <w:b/>
          <w:spacing w:val="0"/>
          <w:szCs w:val="24"/>
          <w:rtl/>
        </w:rPr>
        <w:t>"ש</w:t>
      </w:r>
      <w:r>
        <w:rPr>
          <w:rFonts w:hint="cs"/>
          <w:rtl/>
        </w:rPr>
        <w:t xml:space="preserve">) סמכויות רבות בתחום הפלילי, שנוגעות בין היתר להחלטה האם </w:t>
      </w:r>
      <w:r w:rsidRPr="00471992">
        <w:rPr>
          <w:rtl/>
        </w:rPr>
        <w:t xml:space="preserve">לפתוח בהליכי חקירה </w:t>
      </w:r>
      <w:r>
        <w:rPr>
          <w:rFonts w:hint="cs"/>
          <w:rtl/>
        </w:rPr>
        <w:t>אם לאו. כמו כן, מן המפורסמות כי ליועמ"ש שיקול דעת רחב בתחום סמכויות אלו, שכן בכובעו כראש התביעה הכללית,</w:t>
      </w:r>
      <w:r w:rsidRPr="002B47E6">
        <w:rPr>
          <w:rFonts w:hint="cs"/>
          <w:rtl/>
        </w:rPr>
        <w:t xml:space="preserve"> </w:t>
      </w:r>
      <w:r>
        <w:rPr>
          <w:rFonts w:hint="cs"/>
          <w:rtl/>
        </w:rPr>
        <w:t>ה</w:t>
      </w:r>
      <w:r w:rsidRPr="002B47E6">
        <w:rPr>
          <w:rFonts w:hint="cs"/>
          <w:rtl/>
        </w:rPr>
        <w:t>מופקד על אכיפת הדין הפלילי</w:t>
      </w:r>
      <w:r>
        <w:rPr>
          <w:rFonts w:hint="cs"/>
          <w:rtl/>
        </w:rPr>
        <w:t>, הוא מפעיל סמכות מעין שיפוטית</w:t>
      </w:r>
      <w:r w:rsidRPr="00024C83">
        <w:rPr>
          <w:sz w:val="28"/>
          <w:rtl/>
        </w:rPr>
        <w:t xml:space="preserve"> (</w:t>
      </w:r>
      <w:r w:rsidRPr="00024C83">
        <w:rPr>
          <w:color w:val="000000"/>
          <w:sz w:val="28"/>
          <w:rtl/>
        </w:rPr>
        <w:t>בג"ץ 1983/17</w:t>
      </w:r>
      <w:r w:rsidRPr="00D70396">
        <w:rPr>
          <w:color w:val="000000"/>
          <w:sz w:val="27"/>
          <w:szCs w:val="27"/>
          <w:rtl/>
        </w:rPr>
        <w:t xml:space="preserve"> </w:t>
      </w:r>
      <w:r w:rsidRPr="00D70396">
        <w:rPr>
          <w:rFonts w:ascii="Century" w:hAnsi="Century" w:cs="Miriam"/>
          <w:b/>
          <w:spacing w:val="0"/>
          <w:szCs w:val="24"/>
          <w:rtl/>
        </w:rPr>
        <w:t>נפתלי נ' היועץ המשפטי לממשלה</w:t>
      </w:r>
      <w:r w:rsidRPr="00024C83">
        <w:rPr>
          <w:color w:val="000000"/>
          <w:sz w:val="28"/>
          <w:rtl/>
        </w:rPr>
        <w:t>,</w:t>
      </w:r>
      <w:r w:rsidRPr="00D70396">
        <w:rPr>
          <w:rFonts w:hint="cs"/>
          <w:color w:val="000000"/>
          <w:sz w:val="27"/>
          <w:szCs w:val="27"/>
          <w:rtl/>
        </w:rPr>
        <w:t xml:space="preserve"> </w:t>
      </w:r>
      <w:r w:rsidRPr="00024C83">
        <w:rPr>
          <w:rFonts w:hint="eastAsia"/>
          <w:rtl/>
        </w:rPr>
        <w:t>פסקה</w:t>
      </w:r>
      <w:r w:rsidRPr="00D70396">
        <w:rPr>
          <w:rFonts w:hint="cs"/>
          <w:color w:val="000000"/>
          <w:sz w:val="27"/>
          <w:szCs w:val="27"/>
          <w:rtl/>
        </w:rPr>
        <w:t xml:space="preserve"> </w:t>
      </w:r>
      <w:r w:rsidRPr="00024C83">
        <w:rPr>
          <w:color w:val="000000"/>
          <w:sz w:val="28"/>
          <w:rtl/>
        </w:rPr>
        <w:t>23</w:t>
      </w:r>
      <w:r w:rsidRPr="00D70396">
        <w:rPr>
          <w:color w:val="000000"/>
          <w:sz w:val="27"/>
          <w:szCs w:val="27"/>
          <w:rtl/>
        </w:rPr>
        <w:t xml:space="preserve"> </w:t>
      </w:r>
      <w:r w:rsidRPr="00024C83">
        <w:rPr>
          <w:color w:val="000000"/>
          <w:sz w:val="28"/>
          <w:rtl/>
        </w:rPr>
        <w:t>(27.04.2017)).</w:t>
      </w:r>
      <w:r w:rsidRPr="00D70396">
        <w:rPr>
          <w:rFonts w:hint="cs"/>
          <w:color w:val="000000"/>
          <w:sz w:val="27"/>
          <w:szCs w:val="27"/>
          <w:rtl/>
        </w:rPr>
        <w:t xml:space="preserve"> </w:t>
      </w:r>
      <w:r w:rsidRPr="002B47E6">
        <w:rPr>
          <w:rFonts w:hint="cs"/>
          <w:rtl/>
        </w:rPr>
        <w:t xml:space="preserve">שיקול </w:t>
      </w:r>
      <w:r>
        <w:rPr>
          <w:rFonts w:hint="cs"/>
          <w:rtl/>
        </w:rPr>
        <w:t>הדעת הרחב המוקנה ליועמ"ש בתחום הפלילי נועד לשמור על עצמאותו, בין היתר לאור</w:t>
      </w:r>
      <w:r w:rsidRPr="002B47E6">
        <w:rPr>
          <w:rFonts w:hint="cs"/>
          <w:rtl/>
        </w:rPr>
        <w:t xml:space="preserve"> </w:t>
      </w:r>
      <w:r>
        <w:rPr>
          <w:rFonts w:hint="cs"/>
          <w:rtl/>
        </w:rPr>
        <w:t>הניסיון והמקצועיות של רשויות התביעה</w:t>
      </w:r>
      <w:r w:rsidRPr="002B47E6">
        <w:rPr>
          <w:rFonts w:hint="cs"/>
          <w:rtl/>
        </w:rPr>
        <w:t xml:space="preserve"> </w:t>
      </w:r>
      <w:r>
        <w:rPr>
          <w:rFonts w:hint="cs"/>
          <w:rtl/>
        </w:rPr>
        <w:t>שהוא עומד בראשן; וכן, מן הטעם שגורמי אכיפת החוק עוסקים בעיקרו של דבר בשאלות מקצועיות של הערכת ראיות, לצד הערכה</w:t>
      </w:r>
      <w:r w:rsidRPr="002B47E6">
        <w:rPr>
          <w:rFonts w:hint="cs"/>
          <w:rtl/>
        </w:rPr>
        <w:t xml:space="preserve"> נורמטיבית של </w:t>
      </w:r>
      <w:r>
        <w:rPr>
          <w:rFonts w:hint="cs"/>
          <w:rtl/>
        </w:rPr>
        <w:t>אינטרסים</w:t>
      </w:r>
      <w:r w:rsidRPr="002B47E6">
        <w:rPr>
          <w:rFonts w:hint="cs"/>
          <w:rtl/>
        </w:rPr>
        <w:t xml:space="preserve"> ציבוריים שונים</w:t>
      </w:r>
      <w:r>
        <w:rPr>
          <w:rFonts w:hint="cs"/>
          <w:rtl/>
        </w:rPr>
        <w:t>, תוך איזון עדין ביניהם</w:t>
      </w:r>
      <w:r w:rsidRPr="002B47E6">
        <w:rPr>
          <w:rFonts w:hint="cs"/>
          <w:rtl/>
        </w:rPr>
        <w:t xml:space="preserve"> (</w:t>
      </w:r>
      <w:r w:rsidRPr="008269C9">
        <w:rPr>
          <w:rFonts w:ascii="Century" w:hAnsi="Century"/>
          <w:rtl/>
        </w:rPr>
        <w:t>בג"ץ 5699/07</w:t>
      </w:r>
      <w:r>
        <w:rPr>
          <w:rFonts w:hint="cs"/>
          <w:sz w:val="28"/>
          <w:rtl/>
        </w:rPr>
        <w:t xml:space="preserve"> </w:t>
      </w:r>
      <w:r w:rsidRPr="00BE7014">
        <w:rPr>
          <w:rFonts w:ascii="Century" w:hAnsi="Century" w:cs="Miriam" w:hint="cs"/>
          <w:b/>
          <w:spacing w:val="0"/>
          <w:szCs w:val="24"/>
          <w:rtl/>
        </w:rPr>
        <w:t>פלונית (א') נ' היועץ המשפטי לממשלה</w:t>
      </w:r>
      <w:r>
        <w:rPr>
          <w:rFonts w:hint="cs"/>
          <w:sz w:val="28"/>
          <w:rtl/>
        </w:rPr>
        <w:t xml:space="preserve">, פ"ד סב(3) 550, פסקאות </w:t>
      </w:r>
      <w:r>
        <w:rPr>
          <w:rFonts w:hint="cs"/>
          <w:sz w:val="28"/>
          <w:rtl/>
        </w:rPr>
        <w:lastRenderedPageBreak/>
        <w:t xml:space="preserve">17 ו-25 לפסק דינה של השופטת </w:t>
      </w:r>
      <w:r w:rsidRPr="008269C9">
        <w:rPr>
          <w:rFonts w:ascii="Century" w:hAnsi="Century" w:cs="Miriam" w:hint="cs"/>
          <w:b/>
          <w:spacing w:val="0"/>
          <w:szCs w:val="24"/>
          <w:rtl/>
        </w:rPr>
        <w:t>א'</w:t>
      </w:r>
      <w:r w:rsidRPr="008269C9">
        <w:rPr>
          <w:rFonts w:hint="cs"/>
          <w:sz w:val="28"/>
          <w:rtl/>
        </w:rPr>
        <w:t xml:space="preserve"> </w:t>
      </w:r>
      <w:proofErr w:type="spellStart"/>
      <w:r w:rsidRPr="00F553BC">
        <w:rPr>
          <w:rFonts w:ascii="Century" w:hAnsi="Century" w:cs="Miriam" w:hint="cs"/>
          <w:b/>
          <w:spacing w:val="0"/>
          <w:szCs w:val="24"/>
          <w:rtl/>
        </w:rPr>
        <w:t>פרוקצ'יה</w:t>
      </w:r>
      <w:proofErr w:type="spellEnd"/>
      <w:r>
        <w:rPr>
          <w:rFonts w:hint="cs"/>
          <w:sz w:val="28"/>
          <w:rtl/>
        </w:rPr>
        <w:t xml:space="preserve"> (26.02.2008); </w:t>
      </w:r>
      <w:r w:rsidRPr="00D70396">
        <w:rPr>
          <w:rFonts w:ascii="Century" w:hAnsi="Century"/>
          <w:rtl/>
        </w:rPr>
        <w:t xml:space="preserve">בג"ץ </w:t>
      </w:r>
      <w:r>
        <w:rPr>
          <w:rFonts w:ascii="Century" w:hAnsi="Century" w:hint="cs"/>
          <w:rtl/>
        </w:rPr>
        <w:t>3921</w:t>
      </w:r>
      <w:r w:rsidRPr="00D70396">
        <w:rPr>
          <w:rFonts w:ascii="Century" w:hAnsi="Century"/>
          <w:rtl/>
        </w:rPr>
        <w:t>/</w:t>
      </w:r>
      <w:r>
        <w:rPr>
          <w:rFonts w:ascii="Century" w:hAnsi="Century" w:hint="cs"/>
          <w:rtl/>
        </w:rPr>
        <w:t>20</w:t>
      </w:r>
      <w:r w:rsidRPr="00D70396">
        <w:rPr>
          <w:rFonts w:ascii="Century" w:hAnsi="Century"/>
          <w:rtl/>
        </w:rPr>
        <w:t xml:space="preserve"> </w:t>
      </w:r>
      <w:r>
        <w:rPr>
          <w:rFonts w:ascii="Century" w:hAnsi="Century" w:cs="Miriam" w:hint="cs"/>
          <w:b/>
          <w:spacing w:val="0"/>
          <w:szCs w:val="24"/>
          <w:rtl/>
        </w:rPr>
        <w:t>התנועה למען איכות השלטון</w:t>
      </w:r>
      <w:r w:rsidRPr="00D70396">
        <w:rPr>
          <w:rFonts w:ascii="Century" w:hAnsi="Century" w:cs="Miriam"/>
          <w:b/>
          <w:spacing w:val="0"/>
          <w:szCs w:val="24"/>
          <w:rtl/>
        </w:rPr>
        <w:t xml:space="preserve"> </w:t>
      </w:r>
      <w:r>
        <w:rPr>
          <w:rFonts w:ascii="Century" w:hAnsi="Century" w:cs="Miriam" w:hint="cs"/>
          <w:b/>
          <w:spacing w:val="0"/>
          <w:szCs w:val="24"/>
          <w:rtl/>
        </w:rPr>
        <w:t xml:space="preserve">בישראל </w:t>
      </w:r>
      <w:r w:rsidRPr="00D70396">
        <w:rPr>
          <w:rFonts w:ascii="Century" w:hAnsi="Century" w:cs="Miriam"/>
          <w:b/>
          <w:spacing w:val="0"/>
          <w:szCs w:val="24"/>
          <w:rtl/>
        </w:rPr>
        <w:t>נ' היועץ המשפטי לממשלה</w:t>
      </w:r>
      <w:r>
        <w:rPr>
          <w:rFonts w:ascii="Century" w:hAnsi="Century" w:hint="cs"/>
          <w:rtl/>
        </w:rPr>
        <w:t xml:space="preserve">, פסקאות 71-70 (22.07.2021) (להלן: </w:t>
      </w:r>
      <w:r w:rsidRPr="00DC0536">
        <w:rPr>
          <w:rFonts w:ascii="Century" w:hAnsi="Century" w:cs="Miriam" w:hint="cs"/>
          <w:b/>
          <w:spacing w:val="0"/>
          <w:szCs w:val="24"/>
          <w:rtl/>
        </w:rPr>
        <w:t>עניין התנועה למען איכות השלטון</w:t>
      </w:r>
      <w:r>
        <w:rPr>
          <w:rFonts w:ascii="Century" w:hAnsi="Century"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לאורך השנים </w:t>
      </w:r>
      <w:proofErr w:type="spellStart"/>
      <w:r>
        <w:rPr>
          <w:rFonts w:hint="cs"/>
          <w:rtl/>
        </w:rPr>
        <w:t>קולמוסין</w:t>
      </w:r>
      <w:proofErr w:type="spellEnd"/>
      <w:r>
        <w:rPr>
          <w:rFonts w:hint="cs"/>
          <w:rtl/>
        </w:rPr>
        <w:t xml:space="preserve"> רבים נשתברו על אודות שיקול הדעת הרחב המוקנה ליועמ"ש, ולא בכדי. שכן, שאלת היקף הביקורת השיפוטית הראויה על החלטות היועמ"ש בתחום הפלילי מעוררת לבטים רבים, מעצם טיבו וטבעו של תפקיד רם מעלה זה השלוב בתפקידיו וכובעיו הנוספים של היועמ"ש (ראו למשל: </w:t>
      </w:r>
      <w:r w:rsidRPr="002B47E6">
        <w:rPr>
          <w:rFonts w:hint="cs"/>
          <w:rtl/>
        </w:rPr>
        <w:t>מיכאל</w:t>
      </w:r>
      <w:r w:rsidRPr="002B47E6">
        <w:rPr>
          <w:rFonts w:hint="cs"/>
        </w:rPr>
        <w:t xml:space="preserve"> </w:t>
      </w:r>
      <w:r w:rsidRPr="002B47E6">
        <w:rPr>
          <w:rFonts w:ascii="Century" w:hAnsi="Century" w:hint="cs"/>
          <w:rtl/>
        </w:rPr>
        <w:t>בן-</w:t>
      </w:r>
      <w:r w:rsidRPr="002B47E6">
        <w:rPr>
          <w:rFonts w:ascii="Century" w:hAnsi="Century"/>
          <w:rtl/>
        </w:rPr>
        <w:t>י</w:t>
      </w:r>
      <w:r>
        <w:rPr>
          <w:rFonts w:ascii="Century" w:hAnsi="Century"/>
          <w:rtl/>
        </w:rPr>
        <w:t>איר ״הביקורת השיפוטית על החלטות</w:t>
      </w:r>
      <w:r>
        <w:rPr>
          <w:rFonts w:ascii="Century" w:hAnsi="Century" w:hint="cs"/>
          <w:rtl/>
        </w:rPr>
        <w:t xml:space="preserve"> </w:t>
      </w:r>
      <w:r w:rsidRPr="002B47E6">
        <w:rPr>
          <w:rFonts w:ascii="Century" w:hAnsi="Century" w:hint="cs"/>
          <w:rtl/>
        </w:rPr>
        <w:t>היועץ</w:t>
      </w:r>
      <w:r w:rsidRPr="002B47E6">
        <w:rPr>
          <w:rFonts w:ascii="Century" w:hAnsi="Century" w:hint="cs"/>
        </w:rPr>
        <w:t xml:space="preserve"> </w:t>
      </w:r>
      <w:r w:rsidRPr="002B47E6">
        <w:rPr>
          <w:rFonts w:ascii="Century" w:hAnsi="Century" w:hint="cs"/>
          <w:rtl/>
        </w:rPr>
        <w:t>המשפטי</w:t>
      </w:r>
      <w:r w:rsidRPr="002B47E6">
        <w:rPr>
          <w:rFonts w:ascii="Century" w:hAnsi="Century" w:hint="cs"/>
        </w:rPr>
        <w:t xml:space="preserve"> </w:t>
      </w:r>
      <w:r w:rsidRPr="002B47E6">
        <w:rPr>
          <w:rFonts w:ascii="Century" w:hAnsi="Century" w:hint="cs"/>
          <w:rtl/>
        </w:rPr>
        <w:t>לממשלה</w:t>
      </w:r>
      <w:r w:rsidRPr="002B47E6">
        <w:rPr>
          <w:rFonts w:ascii="Century" w:hAnsi="Century" w:hint="cs"/>
        </w:rPr>
        <w:t xml:space="preserve"> </w:t>
      </w:r>
      <w:r w:rsidRPr="002B47E6">
        <w:rPr>
          <w:rFonts w:ascii="Century" w:hAnsi="Century" w:hint="cs"/>
          <w:rtl/>
        </w:rPr>
        <w:t>באכיפת החוק״</w:t>
      </w:r>
      <w:r w:rsidRPr="002B47E6">
        <w:rPr>
          <w:rFonts w:ascii="Century" w:hAnsi="Century" w:hint="cs"/>
        </w:rPr>
        <w:t xml:space="preserve"> </w:t>
      </w:r>
      <w:r w:rsidRPr="002B47E6">
        <w:rPr>
          <w:rFonts w:ascii="Century" w:hAnsi="Century" w:cs="Miriam" w:hint="cs"/>
          <w:b/>
          <w:spacing w:val="0"/>
          <w:szCs w:val="24"/>
          <w:rtl/>
        </w:rPr>
        <w:t>פלילים</w:t>
      </w:r>
      <w:r w:rsidRPr="002B47E6">
        <w:rPr>
          <w:rFonts w:ascii="Century" w:hAnsi="Century" w:hint="cs"/>
          <w:rtl/>
        </w:rPr>
        <w:t xml:space="preserve"> </w:t>
      </w:r>
      <w:r w:rsidRPr="002B47E6">
        <w:rPr>
          <w:rFonts w:hint="cs"/>
          <w:rtl/>
        </w:rPr>
        <w:t xml:space="preserve">ה(2) </w:t>
      </w:r>
      <w:r>
        <w:rPr>
          <w:rFonts w:hint="cs"/>
          <w:rtl/>
        </w:rPr>
        <w:t xml:space="preserve">5 </w:t>
      </w:r>
      <w:r w:rsidRPr="002B47E6">
        <w:rPr>
          <w:rFonts w:hint="cs"/>
          <w:rtl/>
        </w:rPr>
        <w:t>(1996)</w:t>
      </w:r>
      <w:r>
        <w:rPr>
          <w:rFonts w:hint="cs"/>
          <w:rtl/>
        </w:rPr>
        <w:t xml:space="preserve"> (להלן: </w:t>
      </w:r>
      <w:r w:rsidRPr="002B47E6">
        <w:rPr>
          <w:rFonts w:ascii="Century" w:hAnsi="Century" w:cs="Miriam" w:hint="cs"/>
          <w:b/>
          <w:spacing w:val="0"/>
          <w:szCs w:val="24"/>
          <w:rtl/>
        </w:rPr>
        <w:t>בן יאיר</w:t>
      </w:r>
      <w:r w:rsidRPr="002B47E6">
        <w:rPr>
          <w:rFonts w:hint="cs"/>
          <w:rtl/>
        </w:rPr>
        <w:t>)</w:t>
      </w:r>
      <w:r>
        <w:rPr>
          <w:rFonts w:hint="cs"/>
          <w:rtl/>
        </w:rPr>
        <w:t>;</w:t>
      </w:r>
      <w:r w:rsidRPr="008A53DD">
        <w:rPr>
          <w:rFonts w:hint="cs"/>
          <w:rtl/>
        </w:rPr>
        <w:t xml:space="preserve"> </w:t>
      </w:r>
      <w:r>
        <w:rPr>
          <w:rFonts w:hint="cs"/>
          <w:rtl/>
        </w:rPr>
        <w:t xml:space="preserve">דוד </w:t>
      </w:r>
      <w:proofErr w:type="spellStart"/>
      <w:r>
        <w:rPr>
          <w:rFonts w:hint="cs"/>
          <w:rtl/>
        </w:rPr>
        <w:t>קרצמר</w:t>
      </w:r>
      <w:proofErr w:type="spellEnd"/>
      <w:r>
        <w:rPr>
          <w:rFonts w:ascii="Century" w:hAnsi="Century"/>
          <w:rtl/>
        </w:rPr>
        <w:t xml:space="preserve"> ״ביקורת שיפוטית על החלטות</w:t>
      </w:r>
      <w:r>
        <w:rPr>
          <w:rFonts w:ascii="Century" w:hAnsi="Century" w:hint="cs"/>
          <w:rtl/>
        </w:rPr>
        <w:t xml:space="preserve"> </w:t>
      </w:r>
      <w:r w:rsidRPr="002B47E6">
        <w:rPr>
          <w:rFonts w:ascii="Century" w:hAnsi="Century" w:hint="cs"/>
          <w:rtl/>
        </w:rPr>
        <w:t>היועץ</w:t>
      </w:r>
      <w:r w:rsidRPr="002B47E6">
        <w:rPr>
          <w:rFonts w:ascii="Century" w:hAnsi="Century" w:hint="cs"/>
        </w:rPr>
        <w:t xml:space="preserve"> </w:t>
      </w:r>
      <w:r w:rsidRPr="002B47E6">
        <w:rPr>
          <w:rFonts w:ascii="Century" w:hAnsi="Century" w:hint="cs"/>
          <w:rtl/>
        </w:rPr>
        <w:t>המשפטי</w:t>
      </w:r>
      <w:r w:rsidRPr="002B47E6">
        <w:rPr>
          <w:rFonts w:ascii="Century" w:hAnsi="Century" w:hint="cs"/>
        </w:rPr>
        <w:t xml:space="preserve"> </w:t>
      </w:r>
      <w:r w:rsidRPr="002B47E6">
        <w:rPr>
          <w:rFonts w:ascii="Century" w:hAnsi="Century" w:hint="cs"/>
          <w:rtl/>
        </w:rPr>
        <w:t>לממשלה״</w:t>
      </w:r>
      <w:r w:rsidRPr="002B47E6">
        <w:rPr>
          <w:rFonts w:ascii="Century" w:hAnsi="Century" w:hint="cs"/>
        </w:rPr>
        <w:t xml:space="preserve"> </w:t>
      </w:r>
      <w:r w:rsidRPr="002B47E6">
        <w:rPr>
          <w:rFonts w:ascii="Century" w:hAnsi="Century" w:cs="Miriam" w:hint="cs"/>
          <w:b/>
          <w:spacing w:val="0"/>
          <w:szCs w:val="24"/>
          <w:rtl/>
        </w:rPr>
        <w:t>פלילים</w:t>
      </w:r>
      <w:r w:rsidRPr="002B47E6">
        <w:rPr>
          <w:rFonts w:ascii="Century" w:hAnsi="Century" w:hint="cs"/>
          <w:rtl/>
        </w:rPr>
        <w:t xml:space="preserve"> </w:t>
      </w:r>
      <w:r w:rsidRPr="002B47E6">
        <w:rPr>
          <w:rFonts w:hint="cs"/>
          <w:rtl/>
        </w:rPr>
        <w:t xml:space="preserve">ה(2) </w:t>
      </w:r>
      <w:r>
        <w:rPr>
          <w:rFonts w:hint="cs"/>
          <w:rtl/>
        </w:rPr>
        <w:t xml:space="preserve">121 </w:t>
      </w:r>
      <w:r w:rsidRPr="002B47E6">
        <w:rPr>
          <w:rFonts w:hint="cs"/>
          <w:rtl/>
        </w:rPr>
        <w:t>(1996)</w:t>
      </w:r>
      <w:r>
        <w:rPr>
          <w:rFonts w:hint="cs"/>
          <w:rtl/>
        </w:rPr>
        <w:t xml:space="preserve"> (להלן: </w:t>
      </w:r>
      <w:proofErr w:type="spellStart"/>
      <w:r>
        <w:rPr>
          <w:rFonts w:ascii="Century" w:hAnsi="Century" w:cs="Miriam" w:hint="cs"/>
          <w:b/>
          <w:spacing w:val="0"/>
          <w:szCs w:val="24"/>
          <w:rtl/>
        </w:rPr>
        <w:t>קרצמר</w:t>
      </w:r>
      <w:proofErr w:type="spellEnd"/>
      <w:r w:rsidRPr="002B47E6">
        <w:rPr>
          <w:rFonts w:hint="cs"/>
          <w:rtl/>
        </w:rPr>
        <w:t>)</w:t>
      </w:r>
      <w:r>
        <w:rPr>
          <w:rFonts w:hint="cs"/>
          <w:rtl/>
        </w:rPr>
        <w:t>. כן ראו המפורט ב</w:t>
      </w:r>
      <w:r>
        <w:rPr>
          <w:rFonts w:ascii="FrankRuehl" w:hAnsi="FrankRuehl"/>
          <w:color w:val="000000"/>
          <w:sz w:val="28"/>
          <w:shd w:val="clear" w:color="auto" w:fill="FFFFFF"/>
          <w:rtl/>
        </w:rPr>
        <w:t>דו"ח ועדת המשפטנים בדבר סמכויות היועץ המשפטי לממשלה</w:t>
      </w:r>
      <w:r>
        <w:rPr>
          <w:rFonts w:ascii="FrankRuehl" w:hAnsi="FrankRuehl" w:hint="cs"/>
          <w:color w:val="000000"/>
          <w:sz w:val="28"/>
          <w:shd w:val="clear" w:color="auto" w:fill="FFFFFF"/>
          <w:rtl/>
        </w:rPr>
        <w:t xml:space="preserve"> (</w:t>
      </w:r>
      <w:r>
        <w:rPr>
          <w:rFonts w:hint="cs"/>
          <w:rtl/>
        </w:rPr>
        <w:t>1962</w:t>
      </w:r>
      <w:r>
        <w:rPr>
          <w:rFonts w:ascii="FrankRuehl" w:hAnsi="FrankRuehl" w:hint="cs"/>
          <w:color w:val="000000"/>
          <w:sz w:val="28"/>
          <w:shd w:val="clear" w:color="auto" w:fill="FFFFFF"/>
          <w:rtl/>
        </w:rPr>
        <w:t>), המוכר גם כדו"ח ועדת אגרנט; וכן</w:t>
      </w:r>
      <w:r>
        <w:rPr>
          <w:rFonts w:ascii="FrankRuehl" w:hAnsi="FrankRuehl"/>
          <w:color w:val="000000"/>
          <w:sz w:val="28"/>
          <w:shd w:val="clear" w:color="auto" w:fill="FFFFFF"/>
          <w:rtl/>
        </w:rPr>
        <w:t xml:space="preserve"> </w:t>
      </w:r>
      <w:r>
        <w:rPr>
          <w:rFonts w:ascii="FrankRuehl" w:hAnsi="FrankRuehl" w:hint="cs"/>
          <w:color w:val="000000"/>
          <w:sz w:val="28"/>
          <w:shd w:val="clear" w:color="auto" w:fill="FFFFFF"/>
          <w:rtl/>
        </w:rPr>
        <w:t>האמור ב</w:t>
      </w:r>
      <w:r>
        <w:rPr>
          <w:rFonts w:ascii="FrankRuehl" w:hAnsi="FrankRuehl"/>
          <w:color w:val="000000"/>
          <w:sz w:val="28"/>
          <w:shd w:val="clear" w:color="auto" w:fill="FFFFFF"/>
          <w:rtl/>
        </w:rPr>
        <w:t>דו"ח הוועדה הציבורית לבחינת דרכי המינוי של היועץ המשפטי לממשלה ונושאים הקשורים לכהונתו</w:t>
      </w:r>
      <w:r>
        <w:rPr>
          <w:rFonts w:ascii="FrankRuehl" w:hAnsi="FrankRuehl" w:hint="cs"/>
          <w:color w:val="000000"/>
          <w:sz w:val="28"/>
          <w:shd w:val="clear" w:color="auto" w:fill="FFFFFF"/>
          <w:rtl/>
        </w:rPr>
        <w:t xml:space="preserve"> (1998),</w:t>
      </w:r>
      <w:r>
        <w:rPr>
          <w:rFonts w:ascii="FrankRuehl" w:hAnsi="FrankRuehl"/>
          <w:color w:val="000000"/>
          <w:sz w:val="28"/>
          <w:shd w:val="clear" w:color="auto" w:fill="FFFFFF"/>
          <w:rtl/>
        </w:rPr>
        <w:t xml:space="preserve"> הידוע </w:t>
      </w:r>
      <w:r>
        <w:rPr>
          <w:rFonts w:ascii="FrankRuehl" w:hAnsi="FrankRuehl" w:hint="cs"/>
          <w:color w:val="000000"/>
          <w:sz w:val="28"/>
          <w:shd w:val="clear" w:color="auto" w:fill="FFFFFF"/>
          <w:rtl/>
        </w:rPr>
        <w:t xml:space="preserve">גם </w:t>
      </w:r>
      <w:r>
        <w:rPr>
          <w:rFonts w:ascii="FrankRuehl" w:hAnsi="FrankRuehl"/>
          <w:color w:val="000000"/>
          <w:sz w:val="28"/>
          <w:shd w:val="clear" w:color="auto" w:fill="FFFFFF"/>
          <w:rtl/>
        </w:rPr>
        <w:t xml:space="preserve">כדו"ח </w:t>
      </w:r>
      <w:r>
        <w:rPr>
          <w:rFonts w:ascii="FrankRuehl" w:hAnsi="FrankRuehl" w:hint="cs"/>
          <w:color w:val="000000"/>
          <w:sz w:val="28"/>
          <w:shd w:val="clear" w:color="auto" w:fill="FFFFFF"/>
          <w:rtl/>
        </w:rPr>
        <w:t xml:space="preserve">ועדת </w:t>
      </w:r>
      <w:r>
        <w:rPr>
          <w:rFonts w:ascii="FrankRuehl" w:hAnsi="FrankRuehl"/>
          <w:color w:val="000000"/>
          <w:sz w:val="28"/>
          <w:shd w:val="clear" w:color="auto" w:fill="FFFFFF"/>
          <w:rtl/>
        </w:rPr>
        <w:t>שמגר</w:t>
      </w:r>
      <w:r>
        <w:rPr>
          <w:rFonts w:hint="cs"/>
          <w:rtl/>
        </w:rPr>
        <w:t>)</w:t>
      </w:r>
      <w:r w:rsidRPr="002B47E6">
        <w:rPr>
          <w:rFonts w:hint="cs"/>
          <w:rtl/>
        </w:rPr>
        <w:t>.</w:t>
      </w:r>
    </w:p>
    <w:p w:rsidR="00DB6151" w:rsidRDefault="00DB6151" w:rsidP="00DB6151">
      <w:pPr>
        <w:pStyle w:val="Ruller41"/>
        <w:overflowPunct/>
        <w:autoSpaceDE/>
        <w:autoSpaceDN/>
        <w:adjustRightInd/>
        <w:spacing w:before="240" w:after="240"/>
        <w:textAlignment w:val="auto"/>
      </w:pPr>
      <w:r>
        <w:rPr>
          <w:rtl/>
        </w:rPr>
        <w:tab/>
      </w:r>
      <w:r>
        <w:rPr>
          <w:rFonts w:hint="cs"/>
          <w:rtl/>
        </w:rPr>
        <w:t xml:space="preserve">סקירה של פסיקת בית משפט זה מגלה כי התייחסותו לשאלה זו עברה, במובן מסוים, מספר תמורות לאורך השנים (ראו אצל </w:t>
      </w:r>
      <w:r w:rsidRPr="008A53DD">
        <w:rPr>
          <w:rFonts w:ascii="Century" w:hAnsi="Century" w:cs="Miriam" w:hint="cs"/>
          <w:b/>
          <w:spacing w:val="0"/>
          <w:szCs w:val="24"/>
          <w:rtl/>
        </w:rPr>
        <w:t>בן יאיר</w:t>
      </w:r>
      <w:r w:rsidRPr="008A53DD">
        <w:rPr>
          <w:rFonts w:hint="cs"/>
          <w:rtl/>
        </w:rPr>
        <w:t xml:space="preserve"> </w:t>
      </w:r>
      <w:r w:rsidRPr="00A31D1A">
        <w:rPr>
          <w:rFonts w:ascii="Century" w:hAnsi="Century" w:hint="cs"/>
          <w:rtl/>
        </w:rPr>
        <w:t>ואצל</w:t>
      </w:r>
      <w:r w:rsidRPr="00A31D1A">
        <w:rPr>
          <w:rFonts w:ascii="Century" w:hAnsi="Century" w:cs="Miriam" w:hint="cs"/>
          <w:b/>
          <w:spacing w:val="0"/>
          <w:szCs w:val="24"/>
          <w:rtl/>
        </w:rPr>
        <w:t xml:space="preserve"> </w:t>
      </w:r>
      <w:proofErr w:type="spellStart"/>
      <w:r w:rsidRPr="008A53DD">
        <w:rPr>
          <w:rFonts w:ascii="Century" w:hAnsi="Century" w:cs="Miriam" w:hint="cs"/>
          <w:b/>
          <w:spacing w:val="0"/>
          <w:szCs w:val="24"/>
          <w:rtl/>
        </w:rPr>
        <w:t>קרצמר</w:t>
      </w:r>
      <w:proofErr w:type="spellEnd"/>
      <w:r>
        <w:rPr>
          <w:rFonts w:ascii="FrankRuehl" w:hAnsi="FrankRuehl" w:hint="cs"/>
          <w:color w:val="000000"/>
          <w:sz w:val="28"/>
          <w:shd w:val="clear" w:color="auto" w:fill="FFFFFF"/>
          <w:rtl/>
        </w:rPr>
        <w:t>).</w:t>
      </w:r>
    </w:p>
    <w:p w:rsidR="00DB6151" w:rsidRDefault="00DB6151" w:rsidP="00DB6151">
      <w:pPr>
        <w:pStyle w:val="Ruller41"/>
        <w:numPr>
          <w:ilvl w:val="0"/>
          <w:numId w:val="13"/>
        </w:numPr>
        <w:overflowPunct/>
        <w:autoSpaceDE/>
        <w:autoSpaceDN/>
        <w:adjustRightInd/>
        <w:spacing w:before="240" w:after="240"/>
        <w:ind w:left="0" w:firstLine="0"/>
        <w:textAlignment w:val="auto"/>
        <w:rPr>
          <w:rFonts w:ascii="FrankRuehl" w:hAnsi="FrankRuehl"/>
          <w:color w:val="000000"/>
          <w:sz w:val="28"/>
        </w:rPr>
      </w:pPr>
      <w:r>
        <w:rPr>
          <w:rFonts w:hint="cs"/>
          <w:rtl/>
        </w:rPr>
        <w:t xml:space="preserve">לשם כך, </w:t>
      </w:r>
      <w:r w:rsidRPr="00A31D1A">
        <w:rPr>
          <w:rFonts w:hint="eastAsia"/>
          <w:rtl/>
        </w:rPr>
        <w:t>נחזור</w:t>
      </w:r>
      <w:r w:rsidRPr="00A31D1A">
        <w:rPr>
          <w:rtl/>
        </w:rPr>
        <w:t xml:space="preserve"> </w:t>
      </w:r>
      <w:r w:rsidRPr="00A31D1A">
        <w:rPr>
          <w:rFonts w:hint="eastAsia"/>
          <w:rtl/>
        </w:rPr>
        <w:t>ל</w:t>
      </w:r>
      <w:r>
        <w:rPr>
          <w:rFonts w:hint="cs"/>
          <w:rtl/>
        </w:rPr>
        <w:t>רגע, ל</w:t>
      </w:r>
      <w:r w:rsidRPr="00A31D1A">
        <w:rPr>
          <w:rFonts w:hint="eastAsia"/>
          <w:rtl/>
        </w:rPr>
        <w:t>בראשית</w:t>
      </w:r>
      <w:r>
        <w:rPr>
          <w:rFonts w:hint="cs"/>
          <w:rtl/>
        </w:rPr>
        <w:t xml:space="preserve">. </w:t>
      </w:r>
      <w:r>
        <w:rPr>
          <w:rFonts w:ascii="FrankRuehl" w:hAnsi="FrankRuehl" w:hint="cs"/>
          <w:color w:val="000000"/>
          <w:sz w:val="28"/>
          <w:rtl/>
        </w:rPr>
        <w:t xml:space="preserve">בפסק הדין בבג"ץ 156/56 </w:t>
      </w:r>
      <w:r w:rsidRPr="00AB666C">
        <w:rPr>
          <w:rFonts w:ascii="Century" w:hAnsi="Century" w:cs="Miriam" w:hint="cs"/>
          <w:b/>
          <w:spacing w:val="0"/>
          <w:szCs w:val="24"/>
          <w:rtl/>
        </w:rPr>
        <w:t>שור נ' היועץ המשפטי לממשלה</w:t>
      </w:r>
      <w:r w:rsidRPr="00AB666C">
        <w:rPr>
          <w:rFonts w:ascii="FrankRuehl" w:hAnsi="FrankRuehl" w:hint="cs"/>
          <w:color w:val="000000"/>
          <w:sz w:val="28"/>
          <w:rtl/>
        </w:rPr>
        <w:t xml:space="preserve"> </w:t>
      </w:r>
      <w:r>
        <w:rPr>
          <w:rFonts w:ascii="FrankRuehl" w:hAnsi="FrankRuehl" w:hint="cs"/>
          <w:color w:val="000000"/>
          <w:sz w:val="28"/>
          <w:rtl/>
        </w:rPr>
        <w:t xml:space="preserve">פ"ד יא 285 (1957) (להלן: </w:t>
      </w:r>
      <w:r w:rsidRPr="000F3744">
        <w:rPr>
          <w:rFonts w:ascii="Century" w:hAnsi="Century" w:cs="Miriam" w:hint="cs"/>
          <w:b/>
          <w:spacing w:val="0"/>
          <w:szCs w:val="24"/>
          <w:rtl/>
        </w:rPr>
        <w:t>עניין שור</w:t>
      </w:r>
      <w:r>
        <w:rPr>
          <w:rFonts w:ascii="FrankRuehl" w:hAnsi="FrankRuehl" w:hint="cs"/>
          <w:color w:val="000000"/>
          <w:sz w:val="28"/>
          <w:rtl/>
        </w:rPr>
        <w:t xml:space="preserve">), נדונה ועוצבה לראשונה הגישה המסורתית של בית משפט זה בנוגע להתערבות בהחלטות היועמ"ש; זאת אגב דיון בעתירה שעניינה החלטה לעכב הליכי קובלנה פלילית פרטית. בפסק הדין, מפי השופט </w:t>
      </w:r>
      <w:r w:rsidRPr="00E90CF5">
        <w:rPr>
          <w:rFonts w:ascii="Century" w:hAnsi="Century" w:cs="Miriam" w:hint="cs"/>
          <w:b/>
          <w:spacing w:val="0"/>
          <w:szCs w:val="24"/>
          <w:rtl/>
        </w:rPr>
        <w:t>ש' אגרנט</w:t>
      </w:r>
      <w:r>
        <w:rPr>
          <w:rFonts w:ascii="FrankRuehl" w:hAnsi="FrankRuehl" w:hint="cs"/>
          <w:color w:val="000000"/>
          <w:sz w:val="28"/>
          <w:rtl/>
        </w:rPr>
        <w:t>, נדון מעמד היועמ"ש בכלל ובהליכים פליליים בפרט. זאת נעשה, תוך סקירה והבחנה בין מעמדו בשיטתנו המשפטית, שהייתה חדשה באותה עת, למול מעמדו בשיטת המשפט הבריטית והאמריקנית. בעיקרו של דבר נקבע, בהסכמת היועמ"ש, כי החלטותיו כפופות לביקורת שיפוטית. בצד האמור נקבע, כי "</w:t>
      </w:r>
      <w:r w:rsidRPr="00C90C20">
        <w:rPr>
          <w:rFonts w:ascii="Century" w:hAnsi="Century" w:cs="Miriam" w:hint="eastAsia"/>
          <w:b/>
          <w:spacing w:val="0"/>
          <w:szCs w:val="24"/>
          <w:rtl/>
        </w:rPr>
        <w:t>מן</w:t>
      </w:r>
      <w:r w:rsidRPr="00C90C20">
        <w:rPr>
          <w:rFonts w:ascii="Century" w:hAnsi="Century" w:cs="Miriam"/>
          <w:b/>
          <w:spacing w:val="0"/>
          <w:szCs w:val="24"/>
          <w:rtl/>
        </w:rPr>
        <w:t xml:space="preserve"> ההכרח [שהביקורת השיפוטית – ח.כ.] תשתרע ע</w:t>
      </w:r>
      <w:r w:rsidRPr="00C90C20">
        <w:rPr>
          <w:rFonts w:ascii="Century" w:hAnsi="Century" w:cs="Miriam" w:hint="eastAsia"/>
          <w:b/>
          <w:spacing w:val="0"/>
          <w:szCs w:val="24"/>
          <w:rtl/>
        </w:rPr>
        <w:t>ל</w:t>
      </w:r>
      <w:r w:rsidRPr="00C90C20">
        <w:rPr>
          <w:rFonts w:ascii="Century" w:hAnsi="Century" w:cs="Miriam"/>
          <w:b/>
          <w:spacing w:val="0"/>
          <w:szCs w:val="24"/>
          <w:rtl/>
        </w:rPr>
        <w:t xml:space="preserve"> </w:t>
      </w:r>
      <w:r w:rsidRPr="00C90C20">
        <w:rPr>
          <w:rFonts w:ascii="Century" w:hAnsi="Century" w:cs="Miriam" w:hint="eastAsia"/>
          <w:b/>
          <w:spacing w:val="0"/>
          <w:szCs w:val="24"/>
          <w:rtl/>
        </w:rPr>
        <w:t>שטח</w:t>
      </w:r>
      <w:r w:rsidRPr="00C90C20">
        <w:rPr>
          <w:rFonts w:ascii="Century" w:hAnsi="Century" w:cs="Miriam"/>
          <w:b/>
          <w:spacing w:val="0"/>
          <w:szCs w:val="24"/>
          <w:rtl/>
        </w:rPr>
        <w:t xml:space="preserve"> </w:t>
      </w:r>
      <w:r w:rsidRPr="00C90C20">
        <w:rPr>
          <w:rFonts w:ascii="Century" w:hAnsi="Century" w:cs="Miriam" w:hint="eastAsia"/>
          <w:b/>
          <w:spacing w:val="0"/>
          <w:szCs w:val="24"/>
          <w:rtl/>
        </w:rPr>
        <w:t>צר</w:t>
      </w:r>
      <w:r w:rsidRPr="00C90C20">
        <w:rPr>
          <w:rFonts w:ascii="Century" w:hAnsi="Century" w:cs="Miriam"/>
          <w:b/>
          <w:spacing w:val="0"/>
          <w:szCs w:val="24"/>
          <w:rtl/>
        </w:rPr>
        <w:t xml:space="preserve"> למדי</w:t>
      </w:r>
      <w:r>
        <w:rPr>
          <w:rFonts w:ascii="FrankRuehl" w:hAnsi="FrankRuehl" w:hint="cs"/>
          <w:color w:val="000000"/>
          <w:sz w:val="28"/>
          <w:rtl/>
        </w:rPr>
        <w:t>", ואמת המידה להתערבות עוצבה כך שעל בית המשפט לבחון האם ההחלטה "</w:t>
      </w:r>
      <w:r w:rsidRPr="00C90C20">
        <w:rPr>
          <w:rFonts w:ascii="Century" w:hAnsi="Century" w:cs="Miriam" w:hint="eastAsia"/>
          <w:b/>
          <w:spacing w:val="0"/>
          <w:szCs w:val="24"/>
          <w:rtl/>
        </w:rPr>
        <w:t>יסודה</w:t>
      </w:r>
      <w:r w:rsidRPr="00C90C20">
        <w:rPr>
          <w:rFonts w:ascii="Century" w:hAnsi="Century" w:cs="Miriam"/>
          <w:b/>
          <w:spacing w:val="0"/>
          <w:szCs w:val="24"/>
          <w:rtl/>
        </w:rPr>
        <w:t xml:space="preserve"> ביושר ובתום לב; במניעים טהורים ולא נפסדים; במטרה הכרוכה באינטרס ציבורי </w:t>
      </w:r>
      <w:r w:rsidRPr="00C90C20">
        <w:rPr>
          <w:rFonts w:ascii="Century" w:hAnsi="Century" w:cs="Miriam" w:hint="eastAsia"/>
          <w:b/>
          <w:spacing w:val="0"/>
          <w:szCs w:val="24"/>
          <w:rtl/>
        </w:rPr>
        <w:t>ומכל</w:t>
      </w:r>
      <w:r w:rsidRPr="00C90C20">
        <w:rPr>
          <w:rFonts w:ascii="Century" w:hAnsi="Century" w:cs="Miriam"/>
          <w:b/>
          <w:spacing w:val="0"/>
          <w:szCs w:val="24"/>
          <w:rtl/>
        </w:rPr>
        <w:t xml:space="preserve"> </w:t>
      </w:r>
      <w:r w:rsidRPr="00C90C20">
        <w:rPr>
          <w:rFonts w:ascii="Century" w:hAnsi="Century" w:cs="Miriam" w:hint="eastAsia"/>
          <w:b/>
          <w:spacing w:val="0"/>
          <w:szCs w:val="24"/>
          <w:rtl/>
        </w:rPr>
        <w:t>מקום</w:t>
      </w:r>
      <w:r w:rsidRPr="00C90C20">
        <w:rPr>
          <w:rFonts w:ascii="Century" w:hAnsi="Century" w:cs="Miriam"/>
          <w:b/>
          <w:spacing w:val="0"/>
          <w:szCs w:val="24"/>
          <w:rtl/>
        </w:rPr>
        <w:t xml:space="preserve"> </w:t>
      </w:r>
      <w:r w:rsidRPr="00C90C20">
        <w:rPr>
          <w:rFonts w:ascii="Century" w:hAnsi="Century" w:cs="Miriam" w:hint="eastAsia"/>
          <w:b/>
          <w:spacing w:val="0"/>
          <w:szCs w:val="24"/>
          <w:rtl/>
        </w:rPr>
        <w:t>שאינה</w:t>
      </w:r>
      <w:r w:rsidRPr="00C90C20">
        <w:rPr>
          <w:rFonts w:ascii="Century" w:hAnsi="Century" w:cs="Miriam"/>
          <w:b/>
          <w:spacing w:val="0"/>
          <w:szCs w:val="24"/>
          <w:rtl/>
        </w:rPr>
        <w:t xml:space="preserve"> </w:t>
      </w:r>
      <w:r w:rsidRPr="00C90C20">
        <w:rPr>
          <w:rFonts w:ascii="Century" w:hAnsi="Century" w:cs="Miriam" w:hint="eastAsia"/>
          <w:b/>
          <w:spacing w:val="0"/>
          <w:szCs w:val="24"/>
          <w:rtl/>
        </w:rPr>
        <w:t>עומדת</w:t>
      </w:r>
      <w:r w:rsidRPr="00C90C20">
        <w:rPr>
          <w:rFonts w:ascii="Century" w:hAnsi="Century" w:cs="Miriam"/>
          <w:b/>
          <w:spacing w:val="0"/>
          <w:szCs w:val="24"/>
          <w:rtl/>
        </w:rPr>
        <w:t xml:space="preserve"> [...] </w:t>
      </w:r>
      <w:r w:rsidRPr="00C90C20">
        <w:rPr>
          <w:rFonts w:ascii="Century" w:hAnsi="Century" w:cs="Miriam" w:hint="eastAsia"/>
          <w:b/>
          <w:spacing w:val="0"/>
          <w:szCs w:val="24"/>
          <w:rtl/>
        </w:rPr>
        <w:t>בסתירה</w:t>
      </w:r>
      <w:r w:rsidRPr="00C90C20">
        <w:rPr>
          <w:rFonts w:ascii="Century" w:hAnsi="Century" w:cs="Miriam"/>
          <w:b/>
          <w:spacing w:val="0"/>
          <w:szCs w:val="24"/>
          <w:rtl/>
        </w:rPr>
        <w:t xml:space="preserve"> </w:t>
      </w:r>
      <w:r w:rsidRPr="00C90C20">
        <w:rPr>
          <w:rFonts w:ascii="Century" w:hAnsi="Century" w:cs="Miriam" w:hint="eastAsia"/>
          <w:b/>
          <w:spacing w:val="0"/>
          <w:szCs w:val="24"/>
          <w:rtl/>
        </w:rPr>
        <w:t>ברורה</w:t>
      </w:r>
      <w:r w:rsidRPr="00C90C20">
        <w:rPr>
          <w:rFonts w:ascii="Century" w:hAnsi="Century" w:cs="Miriam"/>
          <w:b/>
          <w:spacing w:val="0"/>
          <w:szCs w:val="24"/>
          <w:rtl/>
        </w:rPr>
        <w:t xml:space="preserve"> </w:t>
      </w:r>
      <w:r w:rsidRPr="00C90C20">
        <w:rPr>
          <w:rFonts w:ascii="Century" w:hAnsi="Century" w:cs="Miriam" w:hint="eastAsia"/>
          <w:b/>
          <w:spacing w:val="0"/>
          <w:szCs w:val="24"/>
          <w:rtl/>
        </w:rPr>
        <w:t>לאינטרס</w:t>
      </w:r>
      <w:r w:rsidRPr="00C90C20">
        <w:rPr>
          <w:rFonts w:ascii="Century" w:hAnsi="Century" w:cs="Miriam"/>
          <w:b/>
          <w:spacing w:val="0"/>
          <w:szCs w:val="24"/>
          <w:rtl/>
        </w:rPr>
        <w:t xml:space="preserve"> </w:t>
      </w:r>
      <w:r w:rsidRPr="00C90C20">
        <w:rPr>
          <w:rFonts w:ascii="Century" w:hAnsi="Century" w:cs="Miriam" w:hint="eastAsia"/>
          <w:b/>
          <w:spacing w:val="0"/>
          <w:szCs w:val="24"/>
          <w:rtl/>
        </w:rPr>
        <w:t>הזה</w:t>
      </w:r>
      <w:r>
        <w:rPr>
          <w:rFonts w:ascii="FrankRuehl" w:hAnsi="FrankRuehl" w:hint="cs"/>
          <w:color w:val="000000"/>
          <w:sz w:val="28"/>
          <w:rtl/>
        </w:rPr>
        <w:t>" (שם, בעמודים 301-300).</w:t>
      </w:r>
    </w:p>
    <w:p w:rsidR="00DB6151" w:rsidRDefault="00DB6151" w:rsidP="00DB6151">
      <w:pPr>
        <w:pStyle w:val="Ruller41"/>
        <w:overflowPunct/>
        <w:autoSpaceDE/>
        <w:autoSpaceDN/>
        <w:adjustRightInd/>
        <w:spacing w:before="240" w:after="240"/>
        <w:textAlignment w:val="auto"/>
        <w:rPr>
          <w:rtl/>
        </w:rPr>
      </w:pPr>
      <w:r>
        <w:rPr>
          <w:rFonts w:ascii="FrankRuehl" w:hAnsi="FrankRuehl"/>
          <w:color w:val="000000"/>
          <w:sz w:val="28"/>
          <w:rtl/>
        </w:rPr>
        <w:tab/>
      </w:r>
      <w:r>
        <w:rPr>
          <w:rFonts w:ascii="FrankRuehl" w:hAnsi="FrankRuehl" w:hint="cs"/>
          <w:color w:val="000000"/>
          <w:sz w:val="28"/>
          <w:rtl/>
        </w:rPr>
        <w:t xml:space="preserve">ייאמר מיד, </w:t>
      </w:r>
      <w:r w:rsidRPr="00B47D46">
        <w:rPr>
          <w:rFonts w:ascii="FrankRuehl" w:hAnsi="FrankRuehl" w:hint="cs"/>
          <w:color w:val="000000"/>
          <w:sz w:val="28"/>
          <w:rtl/>
        </w:rPr>
        <w:t xml:space="preserve">כי גם שנים לאחר מתן פסק הדין בעניין </w:t>
      </w:r>
      <w:r w:rsidRPr="00B47D46">
        <w:rPr>
          <w:rFonts w:ascii="Century" w:hAnsi="Century" w:cs="Miriam" w:hint="cs"/>
          <w:b/>
          <w:spacing w:val="0"/>
          <w:szCs w:val="24"/>
          <w:rtl/>
        </w:rPr>
        <w:t>שור</w:t>
      </w:r>
      <w:r w:rsidRPr="00B47D46">
        <w:rPr>
          <w:rFonts w:ascii="FrankRuehl" w:hAnsi="FrankRuehl" w:hint="cs"/>
          <w:color w:val="000000"/>
          <w:sz w:val="28"/>
          <w:rtl/>
        </w:rPr>
        <w:t xml:space="preserve"> הוסיף בית המשפט לצעוד בתלם שנחרש באותה פרשה (</w:t>
      </w:r>
      <w:r>
        <w:rPr>
          <w:rFonts w:ascii="FrankRuehl" w:hAnsi="FrankRuehl" w:hint="cs"/>
          <w:color w:val="000000"/>
          <w:sz w:val="28"/>
          <w:rtl/>
        </w:rPr>
        <w:t xml:space="preserve">ראו אצל </w:t>
      </w:r>
      <w:proofErr w:type="spellStart"/>
      <w:r w:rsidRPr="00C90C20">
        <w:rPr>
          <w:rFonts w:ascii="Century" w:hAnsi="Century" w:cs="Miriam" w:hint="eastAsia"/>
          <w:b/>
          <w:spacing w:val="0"/>
          <w:szCs w:val="24"/>
          <w:rtl/>
        </w:rPr>
        <w:t>קרצמר</w:t>
      </w:r>
      <w:proofErr w:type="spellEnd"/>
      <w:r w:rsidRPr="00B47D46">
        <w:rPr>
          <w:rFonts w:ascii="FrankRuehl" w:hAnsi="FrankRuehl" w:hint="cs"/>
          <w:color w:val="000000"/>
          <w:sz w:val="28"/>
          <w:rtl/>
        </w:rPr>
        <w:t xml:space="preserve">, בעמודים </w:t>
      </w:r>
      <w:r>
        <w:rPr>
          <w:rFonts w:ascii="FrankRuehl" w:hAnsi="FrankRuehl" w:hint="cs"/>
          <w:color w:val="000000"/>
          <w:sz w:val="28"/>
          <w:rtl/>
        </w:rPr>
        <w:t>128</w:t>
      </w:r>
      <w:r w:rsidRPr="00B47D46">
        <w:rPr>
          <w:rFonts w:ascii="FrankRuehl" w:hAnsi="FrankRuehl" w:hint="cs"/>
          <w:color w:val="000000"/>
          <w:sz w:val="28"/>
          <w:rtl/>
        </w:rPr>
        <w:t>-126</w:t>
      </w:r>
      <w:r>
        <w:rPr>
          <w:rFonts w:ascii="FrankRuehl" w:hAnsi="FrankRuehl" w:hint="cs"/>
          <w:color w:val="000000"/>
          <w:sz w:val="28"/>
          <w:rtl/>
        </w:rPr>
        <w:t xml:space="preserve"> וההפניות שם</w:t>
      </w:r>
      <w:r w:rsidRPr="00B47D46">
        <w:rPr>
          <w:rFonts w:ascii="FrankRuehl" w:hAnsi="FrankRuehl" w:hint="cs"/>
          <w:color w:val="000000"/>
          <w:sz w:val="28"/>
          <w:rtl/>
        </w:rPr>
        <w:t>).</w:t>
      </w:r>
      <w:r>
        <w:rPr>
          <w:rFonts w:ascii="FrankRuehl" w:hAnsi="FrankRuehl" w:hint="cs"/>
          <w:color w:val="000000"/>
          <w:sz w:val="28"/>
          <w:rtl/>
        </w:rPr>
        <w:t xml:space="preserve"> </w:t>
      </w:r>
      <w:r w:rsidRPr="00B47D46">
        <w:rPr>
          <w:rFonts w:ascii="FrankRuehl" w:hAnsi="FrankRuehl" w:hint="cs"/>
          <w:color w:val="000000"/>
          <w:sz w:val="28"/>
          <w:rtl/>
        </w:rPr>
        <w:t>עיון דקדקני ב</w:t>
      </w:r>
      <w:r w:rsidRPr="00B47D46">
        <w:rPr>
          <w:rFonts w:ascii="FrankRuehl" w:hAnsi="FrankRuehl"/>
          <w:color w:val="000000"/>
          <w:sz w:val="28"/>
          <w:rtl/>
        </w:rPr>
        <w:t>פסקי</w:t>
      </w:r>
      <w:r w:rsidRPr="00B47D46">
        <w:rPr>
          <w:rFonts w:ascii="FrankRuehl" w:hAnsi="FrankRuehl" w:hint="cs"/>
          <w:color w:val="000000"/>
          <w:sz w:val="28"/>
          <w:rtl/>
        </w:rPr>
        <w:t xml:space="preserve"> ה</w:t>
      </w:r>
      <w:r w:rsidRPr="00B47D46">
        <w:rPr>
          <w:rFonts w:ascii="FrankRuehl" w:hAnsi="FrankRuehl"/>
          <w:color w:val="000000"/>
          <w:sz w:val="28"/>
          <w:rtl/>
        </w:rPr>
        <w:t>דין שב</w:t>
      </w:r>
      <w:r w:rsidRPr="00B47D46">
        <w:rPr>
          <w:rFonts w:ascii="FrankRuehl" w:hAnsi="FrankRuehl" w:hint="cs"/>
          <w:color w:val="000000"/>
          <w:sz w:val="28"/>
          <w:rtl/>
        </w:rPr>
        <w:t>או ב</w:t>
      </w:r>
      <w:r w:rsidRPr="00B47D46">
        <w:rPr>
          <w:rFonts w:ascii="FrankRuehl" w:hAnsi="FrankRuehl"/>
          <w:color w:val="000000"/>
          <w:sz w:val="28"/>
          <w:rtl/>
        </w:rPr>
        <w:t>עקבות</w:t>
      </w:r>
      <w:r w:rsidRPr="00B47D46">
        <w:rPr>
          <w:rFonts w:ascii="FrankRuehl" w:hAnsi="FrankRuehl" w:hint="cs"/>
          <w:color w:val="000000"/>
          <w:sz w:val="28"/>
          <w:rtl/>
        </w:rPr>
        <w:t xml:space="preserve"> פסק הדין בעניין </w:t>
      </w:r>
      <w:r w:rsidRPr="00B47D46">
        <w:rPr>
          <w:rFonts w:ascii="Century" w:hAnsi="Century" w:cs="Miriam" w:hint="cs"/>
          <w:b/>
          <w:spacing w:val="0"/>
          <w:szCs w:val="24"/>
          <w:rtl/>
        </w:rPr>
        <w:t>שור</w:t>
      </w:r>
      <w:r w:rsidRPr="00B47D46">
        <w:rPr>
          <w:rFonts w:ascii="FrankRuehl" w:hAnsi="FrankRuehl"/>
          <w:color w:val="000000"/>
          <w:sz w:val="28"/>
          <w:rtl/>
        </w:rPr>
        <w:t>,</w:t>
      </w:r>
      <w:r w:rsidRPr="00B47D46">
        <w:rPr>
          <w:rFonts w:ascii="FrankRuehl" w:hAnsi="FrankRuehl" w:hint="cs"/>
          <w:color w:val="000000"/>
          <w:sz w:val="28"/>
          <w:rtl/>
        </w:rPr>
        <w:t xml:space="preserve"> מצביע, אמנם, על גישה שאיננה אחידה ביחס להלכה הנו</w:t>
      </w:r>
      <w:r>
        <w:rPr>
          <w:rFonts w:ascii="FrankRuehl" w:hAnsi="FrankRuehl" w:hint="cs"/>
          <w:color w:val="000000"/>
          <w:sz w:val="28"/>
          <w:rtl/>
        </w:rPr>
        <w:t>ה</w:t>
      </w:r>
      <w:r w:rsidRPr="00B47D46">
        <w:rPr>
          <w:rFonts w:ascii="FrankRuehl" w:hAnsi="FrankRuehl" w:hint="cs"/>
          <w:color w:val="000000"/>
          <w:sz w:val="28"/>
          <w:rtl/>
        </w:rPr>
        <w:t xml:space="preserve">גת, אך לא ניתן למצוא </w:t>
      </w:r>
      <w:r>
        <w:rPr>
          <w:rFonts w:ascii="FrankRuehl" w:hAnsi="FrankRuehl" w:hint="cs"/>
          <w:color w:val="000000"/>
          <w:sz w:val="28"/>
          <w:rtl/>
        </w:rPr>
        <w:t>באיזה מפסקי הדין</w:t>
      </w:r>
      <w:r w:rsidRPr="00B47D46">
        <w:rPr>
          <w:rFonts w:ascii="FrankRuehl" w:hAnsi="FrankRuehl" w:hint="cs"/>
          <w:color w:val="000000"/>
          <w:sz w:val="28"/>
          <w:rtl/>
        </w:rPr>
        <w:t xml:space="preserve"> משום</w:t>
      </w:r>
      <w:r w:rsidRPr="00B47D46">
        <w:rPr>
          <w:rFonts w:ascii="FrankRuehl" w:hAnsi="FrankRuehl"/>
          <w:color w:val="000000"/>
          <w:sz w:val="28"/>
          <w:rtl/>
        </w:rPr>
        <w:t xml:space="preserve"> </w:t>
      </w:r>
      <w:r w:rsidRPr="00B47D46">
        <w:rPr>
          <w:rFonts w:ascii="FrankRuehl" w:hAnsi="FrankRuehl" w:hint="cs"/>
          <w:color w:val="000000"/>
          <w:sz w:val="28"/>
          <w:rtl/>
        </w:rPr>
        <w:lastRenderedPageBreak/>
        <w:t>הרחבה ממשית של</w:t>
      </w:r>
      <w:r w:rsidRPr="00B47D46">
        <w:rPr>
          <w:rFonts w:ascii="FrankRuehl" w:hAnsi="FrankRuehl"/>
          <w:color w:val="000000"/>
          <w:sz w:val="28"/>
          <w:rtl/>
        </w:rPr>
        <w:t xml:space="preserve"> </w:t>
      </w:r>
      <w:r w:rsidRPr="00B47D46">
        <w:rPr>
          <w:rFonts w:ascii="FrankRuehl" w:hAnsi="FrankRuehl" w:hint="cs"/>
          <w:color w:val="000000"/>
          <w:sz w:val="28"/>
          <w:rtl/>
        </w:rPr>
        <w:t>אמת המידה שנקבעה באותה פרשה</w:t>
      </w:r>
      <w:r>
        <w:rPr>
          <w:rFonts w:ascii="FrankRuehl" w:hAnsi="FrankRuehl" w:hint="cs"/>
          <w:color w:val="000000"/>
          <w:sz w:val="28"/>
          <w:rtl/>
        </w:rPr>
        <w:t xml:space="preserve"> </w:t>
      </w:r>
      <w:r w:rsidRPr="00B47D46">
        <w:rPr>
          <w:rFonts w:ascii="FrankRuehl" w:hAnsi="FrankRuehl" w:hint="cs"/>
          <w:color w:val="000000"/>
          <w:sz w:val="28"/>
          <w:rtl/>
        </w:rPr>
        <w:t xml:space="preserve">(שם; וכן ראו את </w:t>
      </w:r>
      <w:r>
        <w:rPr>
          <w:rFonts w:ascii="FrankRuehl" w:hAnsi="FrankRuehl" w:hint="cs"/>
          <w:color w:val="000000"/>
          <w:sz w:val="28"/>
          <w:rtl/>
        </w:rPr>
        <w:t>הסקירה שנערכה ב</w:t>
      </w:r>
      <w:r w:rsidRPr="00B47D46">
        <w:rPr>
          <w:rFonts w:ascii="FrankRuehl" w:hAnsi="FrankRuehl" w:hint="cs"/>
          <w:color w:val="000000"/>
          <w:sz w:val="28"/>
          <w:rtl/>
        </w:rPr>
        <w:t xml:space="preserve">פסק דינו של מ"מ הנשיא </w:t>
      </w:r>
      <w:r w:rsidRPr="00B47D46">
        <w:rPr>
          <w:rFonts w:ascii="Century" w:hAnsi="Century" w:cs="Miriam" w:hint="cs"/>
          <w:b/>
          <w:spacing w:val="0"/>
          <w:szCs w:val="24"/>
          <w:rtl/>
        </w:rPr>
        <w:t>מ' שמגר</w:t>
      </w:r>
      <w:r w:rsidRPr="00B47D46">
        <w:rPr>
          <w:rFonts w:ascii="FrankRuehl" w:hAnsi="FrankRuehl" w:hint="cs"/>
          <w:color w:val="000000"/>
          <w:sz w:val="28"/>
          <w:rtl/>
        </w:rPr>
        <w:t xml:space="preserve"> </w:t>
      </w:r>
      <w:r w:rsidRPr="00B47D46">
        <w:rPr>
          <w:rFonts w:ascii="FrankRuehl" w:hAnsi="FrankRuehl"/>
          <w:color w:val="000000"/>
          <w:sz w:val="28"/>
          <w:rtl/>
        </w:rPr>
        <w:t>ב</w:t>
      </w:r>
      <w:r>
        <w:rPr>
          <w:rFonts w:ascii="FrankRuehl" w:hAnsi="FrankRuehl"/>
          <w:color w:val="000000"/>
          <w:sz w:val="28"/>
          <w:rtl/>
        </w:rPr>
        <w:t>בג"</w:t>
      </w:r>
      <w:r>
        <w:rPr>
          <w:rFonts w:ascii="FrankRuehl" w:hAnsi="FrankRuehl" w:hint="cs"/>
          <w:color w:val="000000"/>
          <w:sz w:val="28"/>
          <w:rtl/>
        </w:rPr>
        <w:t>ץ</w:t>
      </w:r>
      <w:r w:rsidRPr="00B47D46">
        <w:rPr>
          <w:rFonts w:ascii="FrankRuehl" w:hAnsi="FrankRuehl"/>
          <w:color w:val="000000"/>
          <w:sz w:val="28"/>
          <w:rtl/>
        </w:rPr>
        <w:t xml:space="preserve"> 329/81</w:t>
      </w:r>
      <w:r w:rsidRPr="00B47D46">
        <w:rPr>
          <w:rFonts w:ascii="FrankRuehl" w:hAnsi="FrankRuehl" w:hint="cs"/>
          <w:color w:val="000000"/>
          <w:sz w:val="28"/>
          <w:rtl/>
        </w:rPr>
        <w:t xml:space="preserve"> </w:t>
      </w:r>
      <w:r w:rsidRPr="00B47D46">
        <w:rPr>
          <w:rFonts w:ascii="Century" w:hAnsi="Century" w:cs="Miriam" w:hint="cs"/>
          <w:b/>
          <w:spacing w:val="0"/>
          <w:szCs w:val="24"/>
          <w:rtl/>
        </w:rPr>
        <w:t>נוף נ' היועץ המשפטי לממשלה</w:t>
      </w:r>
      <w:r w:rsidRPr="00B47D46">
        <w:rPr>
          <w:rFonts w:ascii="FrankRuehl" w:hAnsi="FrankRuehl" w:hint="cs"/>
          <w:color w:val="000000"/>
          <w:sz w:val="28"/>
          <w:rtl/>
        </w:rPr>
        <w:t xml:space="preserve"> פ"ד </w:t>
      </w:r>
      <w:proofErr w:type="spellStart"/>
      <w:r w:rsidRPr="00B47D46">
        <w:rPr>
          <w:rFonts w:ascii="FrankRuehl" w:hAnsi="FrankRuehl" w:hint="cs"/>
          <w:color w:val="000000"/>
          <w:sz w:val="28"/>
          <w:rtl/>
        </w:rPr>
        <w:t>לז</w:t>
      </w:r>
      <w:proofErr w:type="spellEnd"/>
      <w:r w:rsidRPr="00B47D46">
        <w:rPr>
          <w:rFonts w:ascii="FrankRuehl" w:hAnsi="FrankRuehl" w:hint="cs"/>
          <w:color w:val="000000"/>
          <w:sz w:val="28"/>
          <w:rtl/>
        </w:rPr>
        <w:t>(4) 326</w:t>
      </w:r>
      <w:r>
        <w:rPr>
          <w:rFonts w:ascii="FrankRuehl" w:hAnsi="FrankRuehl" w:hint="cs"/>
          <w:color w:val="000000"/>
          <w:sz w:val="28"/>
          <w:rtl/>
        </w:rPr>
        <w:t xml:space="preserve">, 332-330 (1983), והשוו לגישת השופט </w:t>
      </w:r>
      <w:r w:rsidRPr="00C90C20">
        <w:rPr>
          <w:rFonts w:ascii="Century" w:hAnsi="Century" w:cs="Miriam" w:hint="eastAsia"/>
          <w:b/>
          <w:spacing w:val="0"/>
          <w:szCs w:val="24"/>
          <w:rtl/>
        </w:rPr>
        <w:t>א</w:t>
      </w:r>
      <w:r w:rsidRPr="00C90C20">
        <w:rPr>
          <w:rFonts w:ascii="Century" w:hAnsi="Century" w:cs="Miriam"/>
          <w:b/>
          <w:spacing w:val="0"/>
          <w:szCs w:val="24"/>
          <w:rtl/>
        </w:rPr>
        <w:t xml:space="preserve">' </w:t>
      </w:r>
      <w:r w:rsidRPr="00C90C20">
        <w:rPr>
          <w:rFonts w:ascii="Century" w:hAnsi="Century" w:cs="Miriam" w:hint="eastAsia"/>
          <w:b/>
          <w:spacing w:val="0"/>
          <w:szCs w:val="24"/>
          <w:rtl/>
        </w:rPr>
        <w:t>ברק</w:t>
      </w:r>
      <w:r w:rsidRPr="000871C5">
        <w:rPr>
          <w:rFonts w:ascii="FrankRuehl" w:hAnsi="FrankRuehl" w:hint="cs"/>
          <w:color w:val="000000"/>
          <w:sz w:val="28"/>
          <w:rtl/>
        </w:rPr>
        <w:t xml:space="preserve"> </w:t>
      </w:r>
      <w:r>
        <w:rPr>
          <w:rFonts w:ascii="FrankRuehl" w:hAnsi="FrankRuehl" w:hint="cs"/>
          <w:color w:val="000000"/>
          <w:sz w:val="28"/>
          <w:rtl/>
        </w:rPr>
        <w:t>באותה פרשה, שיש מי שראו בה משום "</w:t>
      </w:r>
      <w:r w:rsidRPr="00C90C20">
        <w:rPr>
          <w:rFonts w:ascii="Century" w:hAnsi="Century" w:cs="Miriam" w:hint="eastAsia"/>
          <w:b/>
          <w:spacing w:val="0"/>
          <w:szCs w:val="24"/>
          <w:rtl/>
        </w:rPr>
        <w:t>הפניית</w:t>
      </w:r>
      <w:r w:rsidRPr="00C90C20">
        <w:rPr>
          <w:rFonts w:ascii="Century" w:hAnsi="Century" w:cs="Miriam"/>
          <w:b/>
          <w:spacing w:val="0"/>
          <w:szCs w:val="24"/>
          <w:rtl/>
        </w:rPr>
        <w:t xml:space="preserve"> </w:t>
      </w:r>
      <w:r w:rsidRPr="00C90C20">
        <w:rPr>
          <w:rFonts w:ascii="Century" w:hAnsi="Century" w:cs="Miriam" w:hint="eastAsia"/>
          <w:b/>
          <w:spacing w:val="0"/>
          <w:szCs w:val="24"/>
          <w:rtl/>
        </w:rPr>
        <w:t>הגב</w:t>
      </w:r>
      <w:r w:rsidRPr="00C90C20">
        <w:rPr>
          <w:rFonts w:ascii="Century" w:hAnsi="Century" w:cs="Miriam"/>
          <w:b/>
          <w:spacing w:val="0"/>
          <w:szCs w:val="24"/>
          <w:rtl/>
        </w:rPr>
        <w:t xml:space="preserve"> </w:t>
      </w:r>
      <w:r w:rsidRPr="00C90C20">
        <w:rPr>
          <w:rFonts w:ascii="Century" w:hAnsi="Century" w:cs="Miriam" w:hint="eastAsia"/>
          <w:b/>
          <w:spacing w:val="0"/>
          <w:szCs w:val="24"/>
          <w:rtl/>
        </w:rPr>
        <w:t>הראשונה</w:t>
      </w:r>
      <w:r w:rsidRPr="00C90C20">
        <w:rPr>
          <w:rFonts w:ascii="Century" w:hAnsi="Century" w:cs="Miriam"/>
          <w:b/>
          <w:spacing w:val="0"/>
          <w:szCs w:val="24"/>
          <w:rtl/>
        </w:rPr>
        <w:t xml:space="preserve"> </w:t>
      </w:r>
      <w:r w:rsidRPr="00C90C20">
        <w:rPr>
          <w:rFonts w:ascii="Century" w:hAnsi="Century" w:cs="Miriam" w:hint="eastAsia"/>
          <w:b/>
          <w:spacing w:val="0"/>
          <w:szCs w:val="24"/>
          <w:rtl/>
        </w:rPr>
        <w:t>לעמדה</w:t>
      </w:r>
      <w:r w:rsidRPr="00C90C20">
        <w:rPr>
          <w:rFonts w:ascii="Century" w:hAnsi="Century" w:cs="Miriam"/>
          <w:b/>
          <w:spacing w:val="0"/>
          <w:szCs w:val="24"/>
          <w:rtl/>
        </w:rPr>
        <w:t xml:space="preserve"> </w:t>
      </w:r>
      <w:r w:rsidRPr="00C90C20">
        <w:rPr>
          <w:rFonts w:ascii="Century" w:hAnsi="Century" w:cs="Miriam" w:hint="eastAsia"/>
          <w:b/>
          <w:spacing w:val="0"/>
          <w:szCs w:val="24"/>
          <w:rtl/>
        </w:rPr>
        <w:t>העקרונית</w:t>
      </w:r>
      <w:r w:rsidRPr="00C90C20">
        <w:rPr>
          <w:rFonts w:ascii="Century" w:hAnsi="Century" w:cs="Miriam"/>
          <w:b/>
          <w:spacing w:val="0"/>
          <w:szCs w:val="24"/>
          <w:rtl/>
        </w:rPr>
        <w:t xml:space="preserve"> </w:t>
      </w:r>
      <w:r w:rsidRPr="00C90C20">
        <w:rPr>
          <w:rFonts w:ascii="Century" w:hAnsi="Century" w:cs="Miriam" w:hint="eastAsia"/>
          <w:b/>
          <w:spacing w:val="0"/>
          <w:szCs w:val="24"/>
          <w:rtl/>
        </w:rPr>
        <w:t>שהתקבלה</w:t>
      </w:r>
      <w:r w:rsidRPr="00C90C20">
        <w:rPr>
          <w:rFonts w:ascii="Century" w:hAnsi="Century" w:cs="Miriam"/>
          <w:b/>
          <w:spacing w:val="0"/>
          <w:szCs w:val="24"/>
          <w:rtl/>
        </w:rPr>
        <w:t xml:space="preserve"> </w:t>
      </w:r>
      <w:r w:rsidRPr="00C90C20">
        <w:rPr>
          <w:rFonts w:ascii="Century" w:hAnsi="Century" w:cs="Miriam" w:hint="eastAsia"/>
          <w:b/>
          <w:spacing w:val="0"/>
          <w:szCs w:val="24"/>
          <w:rtl/>
        </w:rPr>
        <w:t>בעניין</w:t>
      </w:r>
      <w:r w:rsidRPr="00C90C20">
        <w:rPr>
          <w:rFonts w:ascii="Century" w:hAnsi="Century" w:cs="Miriam"/>
          <w:b/>
          <w:spacing w:val="0"/>
          <w:szCs w:val="24"/>
          <w:rtl/>
        </w:rPr>
        <w:t xml:space="preserve"> </w:t>
      </w:r>
      <w:r w:rsidRPr="00C90C20">
        <w:rPr>
          <w:rFonts w:ascii="Century" w:hAnsi="Century" w:cs="Miriam" w:hint="eastAsia"/>
          <w:b/>
          <w:spacing w:val="0"/>
          <w:szCs w:val="24"/>
          <w:rtl/>
        </w:rPr>
        <w:t>שור</w:t>
      </w:r>
      <w:r>
        <w:rPr>
          <w:rFonts w:ascii="FrankRuehl" w:hAnsi="FrankRuehl" w:hint="cs"/>
          <w:color w:val="000000"/>
          <w:sz w:val="28"/>
          <w:rtl/>
        </w:rPr>
        <w:t>" (</w:t>
      </w:r>
      <w:proofErr w:type="spellStart"/>
      <w:r w:rsidRPr="00CB5665">
        <w:rPr>
          <w:rFonts w:ascii="Century" w:hAnsi="Century" w:cs="Miriam" w:hint="cs"/>
          <w:b/>
          <w:spacing w:val="0"/>
          <w:szCs w:val="24"/>
          <w:rtl/>
        </w:rPr>
        <w:t>קרצמר</w:t>
      </w:r>
      <w:proofErr w:type="spellEnd"/>
      <w:r>
        <w:rPr>
          <w:rFonts w:ascii="FrankRuehl" w:hAnsi="FrankRuehl" w:hint="cs"/>
          <w:color w:val="000000"/>
          <w:sz w:val="28"/>
          <w:rtl/>
        </w:rPr>
        <w:t>, בעמוד 129)</w:t>
      </w:r>
      <w:r w:rsidRPr="00B47D46">
        <w:rPr>
          <w:rFonts w:ascii="FrankRuehl" w:hAnsi="FrankRuehl" w:hint="cs"/>
          <w:color w:val="000000"/>
          <w:sz w:val="28"/>
          <w:rtl/>
        </w:rPr>
        <w:t>)</w:t>
      </w:r>
      <w:r>
        <w:rPr>
          <w:rFonts w:hint="cs"/>
          <w:rtl/>
        </w:rPr>
        <w:t xml:space="preserve">. אולם, עם השנים הורחבו הטעמים והעילות בעטיים ייטה בית משפט זה להתערב בהחלטות היועמ"ש בתחום הפלילי. כך, למשל, קבע מ"מ הנשיא </w:t>
      </w:r>
      <w:r w:rsidRPr="00C90C20">
        <w:rPr>
          <w:rFonts w:ascii="Century" w:hAnsi="Century" w:cs="Miriam" w:hint="eastAsia"/>
          <w:b/>
          <w:spacing w:val="0"/>
          <w:szCs w:val="24"/>
          <w:rtl/>
        </w:rPr>
        <w:t>מ</w:t>
      </w:r>
      <w:r w:rsidRPr="00C90C20">
        <w:rPr>
          <w:rFonts w:ascii="Century" w:hAnsi="Century" w:cs="Miriam"/>
          <w:b/>
          <w:spacing w:val="0"/>
          <w:szCs w:val="24"/>
          <w:rtl/>
        </w:rPr>
        <w:t xml:space="preserve">' </w:t>
      </w:r>
      <w:r w:rsidRPr="00C90C20">
        <w:rPr>
          <w:rFonts w:ascii="Century" w:hAnsi="Century" w:cs="Miriam" w:hint="eastAsia"/>
          <w:b/>
          <w:spacing w:val="0"/>
          <w:szCs w:val="24"/>
          <w:rtl/>
        </w:rPr>
        <w:t>שמגר</w:t>
      </w:r>
      <w:r w:rsidRPr="000871C5">
        <w:rPr>
          <w:rFonts w:hint="cs"/>
          <w:rtl/>
        </w:rPr>
        <w:t xml:space="preserve"> </w:t>
      </w:r>
      <w:r>
        <w:rPr>
          <w:rFonts w:hint="cs"/>
          <w:rtl/>
        </w:rPr>
        <w:t xml:space="preserve">בבג"ץ 248/81 </w:t>
      </w:r>
      <w:proofErr w:type="spellStart"/>
      <w:r w:rsidRPr="00222F62">
        <w:rPr>
          <w:rFonts w:ascii="Century" w:hAnsi="Century" w:cs="Miriam" w:hint="cs"/>
          <w:b/>
          <w:spacing w:val="0"/>
          <w:szCs w:val="24"/>
          <w:rtl/>
        </w:rPr>
        <w:t>ווליס</w:t>
      </w:r>
      <w:proofErr w:type="spellEnd"/>
      <w:r w:rsidRPr="00222F62">
        <w:rPr>
          <w:rFonts w:ascii="Century" w:hAnsi="Century" w:cs="Miriam" w:hint="cs"/>
          <w:b/>
          <w:spacing w:val="0"/>
          <w:szCs w:val="24"/>
          <w:rtl/>
        </w:rPr>
        <w:t xml:space="preserve"> נ' הו</w:t>
      </w:r>
      <w:r>
        <w:rPr>
          <w:rFonts w:ascii="Century" w:hAnsi="Century" w:cs="Miriam" w:hint="cs"/>
          <w:b/>
          <w:spacing w:val="0"/>
          <w:szCs w:val="24"/>
          <w:rtl/>
        </w:rPr>
        <w:t>ו</w:t>
      </w:r>
      <w:r w:rsidRPr="00222F62">
        <w:rPr>
          <w:rFonts w:ascii="Century" w:hAnsi="Century" w:cs="Miriam" w:hint="cs"/>
          <w:b/>
          <w:spacing w:val="0"/>
          <w:szCs w:val="24"/>
          <w:rtl/>
        </w:rPr>
        <w:t>עד המחוזי של לשכת עורכי הדין</w:t>
      </w:r>
      <w:r w:rsidRPr="00222F62">
        <w:rPr>
          <w:rFonts w:hint="cs"/>
          <w:rtl/>
        </w:rPr>
        <w:t xml:space="preserve"> </w:t>
      </w:r>
      <w:r>
        <w:rPr>
          <w:rFonts w:hint="cs"/>
          <w:rtl/>
        </w:rPr>
        <w:t xml:space="preserve">פ"ד </w:t>
      </w:r>
      <w:proofErr w:type="spellStart"/>
      <w:r>
        <w:rPr>
          <w:rFonts w:hint="cs"/>
          <w:rtl/>
        </w:rPr>
        <w:t>לז</w:t>
      </w:r>
      <w:proofErr w:type="spellEnd"/>
      <w:r>
        <w:rPr>
          <w:rFonts w:hint="cs"/>
          <w:rtl/>
        </w:rPr>
        <w:t>(3) 533, 541-540 (1983):</w:t>
      </w:r>
    </w:p>
    <w:p w:rsidR="00DB6151" w:rsidRDefault="00DB6151" w:rsidP="00DB6151">
      <w:pPr>
        <w:pStyle w:val="Ruller5"/>
        <w:rPr>
          <w:rtl/>
        </w:rPr>
      </w:pPr>
      <w:r>
        <w:rPr>
          <w:rFonts w:hint="cs"/>
          <w:rtl/>
        </w:rPr>
        <w:t>"</w:t>
      </w:r>
      <w:r>
        <w:rPr>
          <w:rtl/>
        </w:rPr>
        <w:t>כאשר מוקנה לרשות פלונית שיקול הדעת, אם ליזום הליכים פליליים או משמעתיים, נוהג בית המשפט הזה להתערב בשיקוליה רק באותם מקרים, בהם יש יסוד לכאורי לסברה, כי החלטתה של הרשות העצמאית האמורה נבעה משיקולים פסולים ובלתי חוקיים כגון חוסר תום-לב או מניעים זרים</w:t>
      </w:r>
      <w:r>
        <w:rPr>
          <w:rFonts w:hint="cs"/>
          <w:rtl/>
        </w:rPr>
        <w:t xml:space="preserve"> [...]</w:t>
      </w:r>
      <w:r>
        <w:rPr>
          <w:rtl/>
        </w:rPr>
        <w:t xml:space="preserve">. לאור אופיו של העניין נוהג בית המשפט הזה בכל הנוגע לסמכויותיה המשמעתיות של הלשכה באותו אופן ולפי אותם כללים, אשר אותם הוא מיישם בכל הנוגע להתערבותו בשיקול הדעת של היועץ המשפטי לממשלה </w:t>
      </w:r>
      <w:r>
        <w:rPr>
          <w:rFonts w:hint="cs"/>
          <w:rtl/>
        </w:rPr>
        <w:t>[...]</w:t>
      </w:r>
      <w:r>
        <w:rPr>
          <w:rtl/>
        </w:rPr>
        <w:t>; וכפי שמקובל עלינו, כי בידי היועץ המשפטי לממשלה שיקול-דעת רחב בכל הנוגע לפעולתו בתחום התביעה הכללית, כך הדין גם לגבי הלשכה.</w:t>
      </w:r>
    </w:p>
    <w:p w:rsidR="00DB6151" w:rsidRDefault="00DB6151" w:rsidP="00DB6151">
      <w:pPr>
        <w:pStyle w:val="Ruller5"/>
        <w:rPr>
          <w:rtl/>
        </w:rPr>
      </w:pPr>
      <w:r>
        <w:rPr>
          <w:rtl/>
        </w:rPr>
        <w:t xml:space="preserve">בהקשר זה ראוי רק להבהיר ולהדגיש, כי העילות להתערבות בשיקול הדעת שנמנו בפסיקתנו לא התיימרו להציג רשימה ממצה ובלעדית של עילות, ואין גם ללמוד זאת מנוסחם של הדברים, אלא רק הוסברה המגמה העקרונית תוך </w:t>
      </w:r>
      <w:proofErr w:type="spellStart"/>
      <w:r>
        <w:rPr>
          <w:rtl/>
        </w:rPr>
        <w:t>איזכור</w:t>
      </w:r>
      <w:proofErr w:type="spellEnd"/>
      <w:r>
        <w:rPr>
          <w:rtl/>
        </w:rPr>
        <w:t xml:space="preserve"> עילות מייצגות</w:t>
      </w:r>
      <w:r>
        <w:t>.</w:t>
      </w:r>
      <w:r>
        <w:rPr>
          <w:rFonts w:hint="cs"/>
          <w:rtl/>
        </w:rPr>
        <w:t xml:space="preserve"> </w:t>
      </w:r>
      <w:r>
        <w:rPr>
          <w:rtl/>
        </w:rPr>
        <w:t>כך ייתכן,</w:t>
      </w:r>
      <w:r>
        <w:rPr>
          <w:rFonts w:hint="cs"/>
          <w:rtl/>
        </w:rPr>
        <w:t xml:space="preserve"> </w:t>
      </w:r>
      <w:r>
        <w:rPr>
          <w:rtl/>
        </w:rPr>
        <w:t>לדוגמה, שבית-משפט זה יראה להתערב בשיקול הדעת של הקובל, גם אם יתגלה בהחלטתו חוסר סבירות קיצוני, היורד לשורשו של עניין, אף אם אין הוא מתלווה בסימנים של העדר תום-לב דווקא</w:t>
      </w:r>
      <w:r>
        <w:rPr>
          <w:rFonts w:hint="cs"/>
          <w:rtl/>
        </w:rPr>
        <w:t xml:space="preserve">" (ההפניות הושמטו </w:t>
      </w:r>
      <w:r>
        <w:rPr>
          <w:rtl/>
        </w:rPr>
        <w:t>–</w:t>
      </w:r>
      <w:r>
        <w:rPr>
          <w:rFonts w:hint="cs"/>
          <w:rtl/>
        </w:rPr>
        <w:t xml:space="preserve"> ח.כ.)</w:t>
      </w:r>
      <w:r>
        <w:rPr>
          <w:rtl/>
        </w:rPr>
        <w:t>.</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 xml:space="preserve">ואכן, לאורך השנים שחלפו התגבשה הלכה שלפיה התערבות </w:t>
      </w:r>
      <w:r>
        <w:rPr>
          <w:rtl/>
        </w:rPr>
        <w:t>בהחלט</w:t>
      </w:r>
      <w:r>
        <w:rPr>
          <w:rFonts w:hint="cs"/>
          <w:rtl/>
        </w:rPr>
        <w:t>ות היועמ"ש בעניינים פליליים, עשויה להתבצע בשל שורה של פגמים, כגון:</w:t>
      </w:r>
    </w:p>
    <w:p w:rsidR="00DB6151" w:rsidRPr="002B47E6" w:rsidRDefault="00DB6151" w:rsidP="00DB6151">
      <w:pPr>
        <w:pStyle w:val="Ruller5"/>
      </w:pPr>
      <w:r>
        <w:rPr>
          <w:rFonts w:hint="cs"/>
          <w:rtl/>
        </w:rPr>
        <w:t>"</w:t>
      </w:r>
      <w:r w:rsidRPr="00F27D20">
        <w:rPr>
          <w:rtl/>
        </w:rPr>
        <w:t>החלטה שנתקבלה שלא ביושר או שלא בתום לב; החלטה שנתקבלה ממניעים נפסדים ולא טהורים; החלטה שנתקבלה בסתירה ברורה לאינטרס הציבור; החלטה שנתקבלה בחוסר סבירות קיצוני או מהותי; החלטה שהיא בלתי סבירה בעליל; החלטה שנתקבלה בעיוות מהותי; או החלטה הנגועה במשגה היורד לשורשו של עניין</w:t>
      </w:r>
      <w:r w:rsidRPr="00F27D20">
        <w:rPr>
          <w:rFonts w:hint="cs"/>
          <w:rtl/>
        </w:rPr>
        <w:t>; [...]</w:t>
      </w:r>
      <w:r w:rsidRPr="00F27D20">
        <w:rPr>
          <w:rtl/>
        </w:rPr>
        <w:t xml:space="preserve"> החלטה החורגת בבירור ממתחם הסבירות כיוון שבאופן בולט לא ניתן בה משקל לשיקולים רלוונטיים; או שהמשקל שניתן לכל אחד מהשיקולים הינו מעוות עד כדי גיבוש מסקנה החורגת ממתחם שיקול הדעת המסור לראש התביעה הכללית, ומטעם זה עשויה </w:t>
      </w:r>
      <w:r w:rsidRPr="00F27D20">
        <w:rPr>
          <w:rtl/>
        </w:rPr>
        <w:lastRenderedPageBreak/>
        <w:t>להצדיק התערבות בשיקול הדעת גם כאשר ההחלטה ניתנה בתום-לב</w:t>
      </w:r>
      <w:r w:rsidRPr="00F27D20">
        <w:t>"</w:t>
      </w:r>
      <w:r w:rsidRPr="00DE1D82">
        <w:rPr>
          <w:rFonts w:hint="cs"/>
          <w:rtl/>
        </w:rPr>
        <w:t xml:space="preserve"> </w:t>
      </w:r>
      <w:r>
        <w:rPr>
          <w:rFonts w:hint="cs"/>
          <w:rtl/>
        </w:rPr>
        <w:t xml:space="preserve">(בג"ץ 4190/05 </w:t>
      </w:r>
      <w:r w:rsidRPr="00F45082">
        <w:rPr>
          <w:rFonts w:ascii="Century" w:hAnsi="Century" w:cs="Miriam" w:hint="cs"/>
          <w:b/>
          <w:spacing w:val="0"/>
          <w:szCs w:val="24"/>
          <w:rtl/>
        </w:rPr>
        <w:t>נעים נ' פרקליט המדינה</w:t>
      </w:r>
      <w:r>
        <w:rPr>
          <w:rFonts w:hint="cs"/>
          <w:rtl/>
        </w:rPr>
        <w:t>, פסקה 10 (12.09.2006);</w:t>
      </w:r>
      <w:r w:rsidRPr="00DE1D82">
        <w:rPr>
          <w:rFonts w:hint="cs"/>
          <w:rtl/>
        </w:rPr>
        <w:t xml:space="preserve"> </w:t>
      </w:r>
      <w:r>
        <w:rPr>
          <w:rFonts w:hint="cs"/>
          <w:rtl/>
        </w:rPr>
        <w:t>ראו גם פסק הדין הנודע ב</w:t>
      </w:r>
      <w:r>
        <w:rPr>
          <w:rtl/>
        </w:rPr>
        <w:t>בג"</w:t>
      </w:r>
      <w:r>
        <w:rPr>
          <w:rFonts w:hint="cs"/>
          <w:rtl/>
        </w:rPr>
        <w:t>ץ</w:t>
      </w:r>
      <w:r>
        <w:rPr>
          <w:rtl/>
        </w:rPr>
        <w:t xml:space="preserve"> 935/89 </w:t>
      </w:r>
      <w:proofErr w:type="spellStart"/>
      <w:r w:rsidRPr="002B397C">
        <w:rPr>
          <w:rFonts w:ascii="Times New Roman" w:hAnsi="Times New Roman" w:cs="Miriam"/>
          <w:spacing w:val="0"/>
          <w:sz w:val="28"/>
          <w:szCs w:val="24"/>
          <w:rtl/>
        </w:rPr>
        <w:t>גנור</w:t>
      </w:r>
      <w:proofErr w:type="spellEnd"/>
      <w:r w:rsidRPr="002B397C">
        <w:rPr>
          <w:rFonts w:ascii="Times New Roman" w:hAnsi="Times New Roman" w:cs="Miriam"/>
          <w:spacing w:val="0"/>
          <w:sz w:val="28"/>
          <w:szCs w:val="24"/>
          <w:rtl/>
        </w:rPr>
        <w:t xml:space="preserve"> נ' היועץ המשפטי לממשלה</w:t>
      </w:r>
      <w:r>
        <w:rPr>
          <w:rtl/>
        </w:rPr>
        <w:t>, פ"ד מד(2) 485</w:t>
      </w:r>
      <w:r>
        <w:rPr>
          <w:rFonts w:hint="cs"/>
          <w:rtl/>
        </w:rPr>
        <w:t xml:space="preserve"> (1990</w:t>
      </w:r>
      <w:r>
        <w:rPr>
          <w:rtl/>
        </w:rPr>
        <w:t>)</w:t>
      </w:r>
      <w:r>
        <w:rPr>
          <w:rFonts w:hint="cs"/>
          <w:rtl/>
        </w:rPr>
        <w:t xml:space="preserve">; ומהעת האחרונה ממש: בג"ץ 3090/22 </w:t>
      </w:r>
      <w:proofErr w:type="spellStart"/>
      <w:r w:rsidRPr="00BB2027">
        <w:rPr>
          <w:rFonts w:ascii="Century" w:hAnsi="Century" w:cs="Miriam" w:hint="cs"/>
          <w:b/>
          <w:spacing w:val="0"/>
          <w:szCs w:val="24"/>
          <w:rtl/>
        </w:rPr>
        <w:t>חמדאן</w:t>
      </w:r>
      <w:proofErr w:type="spellEnd"/>
      <w:r w:rsidRPr="00BB2027">
        <w:rPr>
          <w:rFonts w:ascii="Century" w:hAnsi="Century" w:cs="Miriam" w:hint="cs"/>
          <w:b/>
          <w:spacing w:val="0"/>
          <w:szCs w:val="24"/>
          <w:rtl/>
        </w:rPr>
        <w:t xml:space="preserve"> נ' היועצת המשפטית לממשלה</w:t>
      </w:r>
      <w:r>
        <w:rPr>
          <w:rFonts w:hint="cs"/>
          <w:rtl/>
        </w:rPr>
        <w:t>, פסקה 41 (29.05.2023)).</w:t>
      </w:r>
    </w:p>
    <w:p w:rsidR="00DB6151" w:rsidRPr="00222F62" w:rsidRDefault="00DB6151" w:rsidP="00DB6151">
      <w:pPr>
        <w:pStyle w:val="Ruller41"/>
        <w:overflowPunct/>
        <w:autoSpaceDE/>
        <w:autoSpaceDN/>
        <w:adjustRightInd/>
        <w:spacing w:before="240" w:after="240"/>
        <w:textAlignment w:val="auto"/>
        <w:rPr>
          <w:rtl/>
        </w:rPr>
      </w:pPr>
      <w:r>
        <w:rPr>
          <w:rtl/>
        </w:rPr>
        <w:tab/>
      </w:r>
      <w:r>
        <w:rPr>
          <w:rFonts w:hint="cs"/>
          <w:rtl/>
        </w:rPr>
        <w:t xml:space="preserve">שינוי איטי זה, מעילת חוסר תום-לב לעילת חוסר הסבירות הקיצוני נעשה חרף קולות מבין שופטי בית המשפט שתהו אם נכון לצעוד בדרך זו. כך, לדוגמה, כתב השופט </w:t>
      </w:r>
      <w:r w:rsidRPr="00BB2027">
        <w:rPr>
          <w:rFonts w:ascii="Century" w:hAnsi="Century" w:cs="Miriam" w:hint="cs"/>
          <w:b/>
          <w:spacing w:val="0"/>
          <w:szCs w:val="24"/>
          <w:rtl/>
        </w:rPr>
        <w:t>ת' אור</w:t>
      </w:r>
      <w:r>
        <w:rPr>
          <w:rFonts w:hint="cs"/>
          <w:rtl/>
        </w:rPr>
        <w:t>, בדעת מיעוט, באחד מפסקי הדין: "</w:t>
      </w:r>
      <w:r w:rsidRPr="00C90C20">
        <w:rPr>
          <w:rFonts w:ascii="Century" w:hAnsi="Century" w:cs="Miriam"/>
          <w:b/>
          <w:spacing w:val="0"/>
          <w:szCs w:val="24"/>
          <w:rtl/>
        </w:rPr>
        <w:t>רואים אנו, שהמדובר בסמכות רחבה ביותר, כשהדגש בהפעלת סמכות זו הוא על כך, שעל היועץ המשפטי להפעיל את שיקול-דעתו שלו, והאחריות בפני הציבור – שלו הי</w:t>
      </w:r>
      <w:r w:rsidRPr="00C90C20">
        <w:rPr>
          <w:rFonts w:ascii="Century" w:hAnsi="Century" w:cs="Miriam" w:hint="eastAsia"/>
          <w:b/>
          <w:spacing w:val="0"/>
          <w:szCs w:val="24"/>
          <w:rtl/>
        </w:rPr>
        <w:t>א</w:t>
      </w:r>
      <w:r>
        <w:rPr>
          <w:rFonts w:hint="cs"/>
          <w:rtl/>
        </w:rPr>
        <w:t xml:space="preserve">" (בג"ץ 223/88 </w:t>
      </w:r>
      <w:r w:rsidRPr="0017346A">
        <w:rPr>
          <w:rFonts w:ascii="Century" w:hAnsi="Century" w:cs="Miriam" w:hint="cs"/>
          <w:b/>
          <w:spacing w:val="0"/>
          <w:szCs w:val="24"/>
          <w:rtl/>
        </w:rPr>
        <w:t>שפטל נ' היועץ המשפטי לממשלה</w:t>
      </w:r>
      <w:r w:rsidRPr="0017346A">
        <w:rPr>
          <w:rFonts w:hint="cs"/>
          <w:rtl/>
        </w:rPr>
        <w:t xml:space="preserve"> </w:t>
      </w:r>
      <w:r>
        <w:rPr>
          <w:rFonts w:hint="cs"/>
          <w:rtl/>
        </w:rPr>
        <w:t>פ"ד מג(4) 356, 370 (1989)); זאת, בין היתר, בהסתמך על פסיקה קודמת שעניינה החלטת היועמ"ש לעכב חקירה עד לקבלת חוות דעת, שם הוטעם כי</w:t>
      </w:r>
      <w:r w:rsidRPr="00034EDD">
        <w:rPr>
          <w:rFonts w:ascii="Century" w:hAnsi="Century" w:hint="cs"/>
          <w:rtl/>
        </w:rPr>
        <w:t xml:space="preserve"> "</w:t>
      </w:r>
      <w:r w:rsidRPr="00C90C20">
        <w:rPr>
          <w:rFonts w:ascii="Century" w:hAnsi="Century" w:cs="Miriam" w:hint="eastAsia"/>
          <w:b/>
          <w:spacing w:val="0"/>
          <w:szCs w:val="24"/>
          <w:rtl/>
        </w:rPr>
        <w:t>זוהי</w:t>
      </w:r>
      <w:r w:rsidRPr="00C90C20">
        <w:rPr>
          <w:rFonts w:ascii="Century" w:hAnsi="Century" w:cs="Miriam"/>
          <w:b/>
          <w:spacing w:val="0"/>
          <w:szCs w:val="24"/>
          <w:rtl/>
        </w:rPr>
        <w:t xml:space="preserve"> </w:t>
      </w:r>
      <w:r w:rsidRPr="00C90C20">
        <w:rPr>
          <w:rFonts w:ascii="Century" w:hAnsi="Century" w:cs="Miriam" w:hint="eastAsia"/>
          <w:b/>
          <w:spacing w:val="0"/>
          <w:szCs w:val="24"/>
          <w:rtl/>
        </w:rPr>
        <w:t>הפררוגטיבה</w:t>
      </w:r>
      <w:r w:rsidRPr="00C90C20">
        <w:rPr>
          <w:rFonts w:ascii="Century" w:hAnsi="Century" w:cs="Miriam"/>
          <w:b/>
          <w:spacing w:val="0"/>
          <w:szCs w:val="24"/>
          <w:rtl/>
        </w:rPr>
        <w:t xml:space="preserve"> </w:t>
      </w:r>
      <w:r w:rsidRPr="00C90C20">
        <w:rPr>
          <w:rFonts w:ascii="Century" w:hAnsi="Century" w:cs="Miriam" w:hint="eastAsia"/>
          <w:b/>
          <w:spacing w:val="0"/>
          <w:szCs w:val="24"/>
          <w:rtl/>
        </w:rPr>
        <w:t>של</w:t>
      </w:r>
      <w:r w:rsidRPr="00C90C20">
        <w:rPr>
          <w:rFonts w:ascii="Century" w:hAnsi="Century" w:cs="Miriam"/>
          <w:b/>
          <w:spacing w:val="0"/>
          <w:szCs w:val="24"/>
          <w:rtl/>
        </w:rPr>
        <w:t xml:space="preserve"> </w:t>
      </w:r>
      <w:r w:rsidRPr="00C90C20">
        <w:rPr>
          <w:rFonts w:ascii="Century" w:hAnsi="Century" w:cs="Miriam" w:hint="eastAsia"/>
          <w:b/>
          <w:spacing w:val="0"/>
          <w:szCs w:val="24"/>
          <w:rtl/>
        </w:rPr>
        <w:t>היועץ</w:t>
      </w:r>
      <w:r w:rsidRPr="00C90C20">
        <w:rPr>
          <w:rFonts w:ascii="Century" w:hAnsi="Century" w:cs="Miriam"/>
          <w:b/>
          <w:spacing w:val="0"/>
          <w:szCs w:val="24"/>
          <w:rtl/>
        </w:rPr>
        <w:t xml:space="preserve"> </w:t>
      </w:r>
      <w:r w:rsidRPr="00C90C20">
        <w:rPr>
          <w:rFonts w:ascii="Century" w:hAnsi="Century" w:cs="Miriam" w:hint="eastAsia"/>
          <w:b/>
          <w:spacing w:val="0"/>
          <w:szCs w:val="24"/>
          <w:rtl/>
        </w:rPr>
        <w:t>המשפטי</w:t>
      </w:r>
      <w:r w:rsidRPr="00C90C20">
        <w:rPr>
          <w:rFonts w:ascii="Century" w:hAnsi="Century" w:cs="Miriam"/>
          <w:b/>
          <w:spacing w:val="0"/>
          <w:szCs w:val="24"/>
          <w:rtl/>
        </w:rPr>
        <w:t xml:space="preserve"> – </w:t>
      </w:r>
      <w:r w:rsidRPr="00C90C20">
        <w:rPr>
          <w:rFonts w:ascii="Century" w:hAnsi="Century" w:cs="Miriam" w:hint="eastAsia"/>
          <w:b/>
          <w:spacing w:val="0"/>
          <w:szCs w:val="24"/>
          <w:rtl/>
        </w:rPr>
        <w:t>וגם</w:t>
      </w:r>
      <w:r w:rsidRPr="00C90C20">
        <w:rPr>
          <w:rFonts w:ascii="Century" w:hAnsi="Century" w:cs="Miriam"/>
          <w:b/>
          <w:spacing w:val="0"/>
          <w:szCs w:val="24"/>
          <w:rtl/>
        </w:rPr>
        <w:t xml:space="preserve"> </w:t>
      </w:r>
      <w:r w:rsidRPr="00C90C20">
        <w:rPr>
          <w:rFonts w:ascii="Century" w:hAnsi="Century" w:cs="Miriam" w:hint="eastAsia"/>
          <w:b/>
          <w:spacing w:val="0"/>
          <w:szCs w:val="24"/>
          <w:rtl/>
        </w:rPr>
        <w:t>חובתו</w:t>
      </w:r>
      <w:r w:rsidRPr="00C90C20">
        <w:rPr>
          <w:rFonts w:ascii="Century" w:hAnsi="Century" w:cs="Miriam"/>
          <w:b/>
          <w:spacing w:val="0"/>
          <w:szCs w:val="24"/>
          <w:rtl/>
        </w:rPr>
        <w:t xml:space="preserve"> – </w:t>
      </w:r>
      <w:r w:rsidRPr="00C90C20">
        <w:rPr>
          <w:rFonts w:ascii="Century" w:hAnsi="Century" w:cs="Miriam" w:hint="eastAsia"/>
          <w:b/>
          <w:spacing w:val="0"/>
          <w:szCs w:val="24"/>
          <w:rtl/>
        </w:rPr>
        <w:t>להידרש</w:t>
      </w:r>
      <w:r w:rsidRPr="00C90C20">
        <w:rPr>
          <w:rFonts w:ascii="Century" w:hAnsi="Century" w:cs="Miriam"/>
          <w:b/>
          <w:spacing w:val="0"/>
          <w:szCs w:val="24"/>
          <w:rtl/>
        </w:rPr>
        <w:t xml:space="preserve"> לשאלות אלו ולהכריע בהן לפי מיטב הכרתו. המדיניות שהוא קובע </w:t>
      </w:r>
      <w:r w:rsidRPr="00C90C20">
        <w:rPr>
          <w:rFonts w:ascii="Century" w:hAnsi="Century" w:cs="Miriam" w:hint="eastAsia"/>
          <w:b/>
          <w:spacing w:val="0"/>
          <w:szCs w:val="24"/>
          <w:rtl/>
        </w:rPr>
        <w:t>לעצמו</w:t>
      </w:r>
      <w:r w:rsidRPr="00C90C20">
        <w:rPr>
          <w:rFonts w:ascii="Century" w:hAnsi="Century" w:cs="Miriam"/>
          <w:b/>
          <w:spacing w:val="0"/>
          <w:szCs w:val="24"/>
          <w:rtl/>
        </w:rPr>
        <w:t xml:space="preserve"> </w:t>
      </w:r>
      <w:r w:rsidRPr="00C90C20">
        <w:rPr>
          <w:rFonts w:ascii="Century" w:hAnsi="Century" w:cs="Miriam" w:hint="eastAsia"/>
          <w:b/>
          <w:spacing w:val="0"/>
          <w:szCs w:val="24"/>
          <w:rtl/>
        </w:rPr>
        <w:t>וההנחיות</w:t>
      </w:r>
      <w:r w:rsidRPr="00C90C20">
        <w:rPr>
          <w:rFonts w:ascii="Century" w:hAnsi="Century" w:cs="Miriam"/>
          <w:b/>
          <w:spacing w:val="0"/>
          <w:szCs w:val="24"/>
          <w:rtl/>
        </w:rPr>
        <w:t xml:space="preserve"> </w:t>
      </w:r>
      <w:r w:rsidRPr="00C90C20">
        <w:rPr>
          <w:rFonts w:ascii="Century" w:hAnsi="Century" w:cs="Miriam" w:hint="eastAsia"/>
          <w:b/>
          <w:spacing w:val="0"/>
          <w:szCs w:val="24"/>
          <w:rtl/>
        </w:rPr>
        <w:t>המנחות</w:t>
      </w:r>
      <w:r w:rsidRPr="00C90C20">
        <w:rPr>
          <w:rFonts w:ascii="Century" w:hAnsi="Century" w:cs="Miriam"/>
          <w:b/>
          <w:spacing w:val="0"/>
          <w:szCs w:val="24"/>
          <w:rtl/>
        </w:rPr>
        <w:t xml:space="preserve"> </w:t>
      </w:r>
      <w:r w:rsidRPr="00C90C20">
        <w:rPr>
          <w:rFonts w:ascii="Century" w:hAnsi="Century" w:cs="Miriam" w:hint="eastAsia"/>
          <w:b/>
          <w:spacing w:val="0"/>
          <w:szCs w:val="24"/>
          <w:rtl/>
        </w:rPr>
        <w:t>אותו</w:t>
      </w:r>
      <w:r w:rsidRPr="00C90C20">
        <w:rPr>
          <w:rFonts w:ascii="Century" w:hAnsi="Century" w:cs="Miriam"/>
          <w:b/>
          <w:spacing w:val="0"/>
          <w:szCs w:val="24"/>
          <w:rtl/>
        </w:rPr>
        <w:t xml:space="preserve">, </w:t>
      </w:r>
      <w:r w:rsidRPr="00C90C20">
        <w:rPr>
          <w:rFonts w:ascii="Century" w:hAnsi="Century" w:cs="Miriam" w:hint="eastAsia"/>
          <w:b/>
          <w:spacing w:val="0"/>
          <w:szCs w:val="24"/>
          <w:rtl/>
        </w:rPr>
        <w:t>ענין</w:t>
      </w:r>
      <w:r w:rsidRPr="00C90C20">
        <w:rPr>
          <w:rFonts w:ascii="Century" w:hAnsi="Century" w:cs="Miriam"/>
          <w:b/>
          <w:spacing w:val="0"/>
          <w:szCs w:val="24"/>
          <w:rtl/>
        </w:rPr>
        <w:t xml:space="preserve"> </w:t>
      </w:r>
      <w:r w:rsidRPr="00C90C20">
        <w:rPr>
          <w:rFonts w:ascii="Century" w:hAnsi="Century" w:cs="Miriam" w:hint="eastAsia"/>
          <w:b/>
          <w:spacing w:val="0"/>
          <w:szCs w:val="24"/>
          <w:rtl/>
        </w:rPr>
        <w:t>הן</w:t>
      </w:r>
      <w:r w:rsidRPr="00C90C20">
        <w:rPr>
          <w:rFonts w:ascii="Century" w:hAnsi="Century" w:cs="Miriam"/>
          <w:b/>
          <w:spacing w:val="0"/>
          <w:szCs w:val="24"/>
          <w:rtl/>
        </w:rPr>
        <w:t xml:space="preserve"> </w:t>
      </w:r>
      <w:r w:rsidRPr="00C90C20">
        <w:rPr>
          <w:rFonts w:ascii="Century" w:hAnsi="Century" w:cs="Miriam" w:hint="eastAsia"/>
          <w:b/>
          <w:spacing w:val="0"/>
          <w:szCs w:val="24"/>
          <w:rtl/>
        </w:rPr>
        <w:t>שאין</w:t>
      </w:r>
      <w:r w:rsidRPr="00C90C20">
        <w:rPr>
          <w:rFonts w:ascii="Century" w:hAnsi="Century" w:cs="Miriam"/>
          <w:b/>
          <w:spacing w:val="0"/>
          <w:szCs w:val="24"/>
          <w:rtl/>
        </w:rPr>
        <w:t xml:space="preserve"> </w:t>
      </w:r>
      <w:r w:rsidRPr="00C90C20">
        <w:rPr>
          <w:rFonts w:ascii="Century" w:hAnsi="Century" w:cs="Miriam" w:hint="eastAsia"/>
          <w:b/>
          <w:spacing w:val="0"/>
          <w:szCs w:val="24"/>
          <w:rtl/>
        </w:rPr>
        <w:t>בית</w:t>
      </w:r>
      <w:r w:rsidRPr="00C90C20">
        <w:rPr>
          <w:rFonts w:ascii="Century" w:hAnsi="Century" w:cs="Miriam"/>
          <w:b/>
          <w:spacing w:val="0"/>
          <w:szCs w:val="24"/>
          <w:rtl/>
        </w:rPr>
        <w:t>-</w:t>
      </w:r>
      <w:r w:rsidRPr="00C90C20">
        <w:rPr>
          <w:rFonts w:ascii="Century" w:hAnsi="Century" w:cs="Miriam" w:hint="eastAsia"/>
          <w:b/>
          <w:spacing w:val="0"/>
          <w:szCs w:val="24"/>
          <w:rtl/>
        </w:rPr>
        <w:t>המשפט</w:t>
      </w:r>
      <w:r w:rsidRPr="00C90C20">
        <w:rPr>
          <w:rFonts w:ascii="Century" w:hAnsi="Century" w:cs="Miriam"/>
          <w:b/>
          <w:spacing w:val="0"/>
          <w:szCs w:val="24"/>
          <w:rtl/>
        </w:rPr>
        <w:t xml:space="preserve"> </w:t>
      </w:r>
      <w:r w:rsidRPr="00C90C20">
        <w:rPr>
          <w:rFonts w:ascii="Century" w:hAnsi="Century" w:cs="Miriam" w:hint="eastAsia"/>
          <w:b/>
          <w:spacing w:val="0"/>
          <w:szCs w:val="24"/>
          <w:rtl/>
        </w:rPr>
        <w:t>מתערב</w:t>
      </w:r>
      <w:r w:rsidRPr="00C90C20">
        <w:rPr>
          <w:rFonts w:ascii="Century" w:hAnsi="Century" w:cs="Miriam"/>
          <w:b/>
          <w:spacing w:val="0"/>
          <w:szCs w:val="24"/>
          <w:rtl/>
        </w:rPr>
        <w:t xml:space="preserve"> </w:t>
      </w:r>
      <w:r w:rsidRPr="00C90C20">
        <w:rPr>
          <w:rFonts w:ascii="Century" w:hAnsi="Century" w:cs="Miriam" w:hint="eastAsia"/>
          <w:b/>
          <w:spacing w:val="0"/>
          <w:szCs w:val="24"/>
          <w:rtl/>
        </w:rPr>
        <w:t>בקביעתן</w:t>
      </w:r>
      <w:r>
        <w:rPr>
          <w:rFonts w:ascii="Century" w:hAnsi="Century" w:hint="cs"/>
          <w:rtl/>
        </w:rPr>
        <w:t xml:space="preserve">" (מפי השופט </w:t>
      </w:r>
      <w:r w:rsidRPr="00034EDD">
        <w:rPr>
          <w:rFonts w:ascii="Century" w:hAnsi="Century" w:cs="Miriam" w:hint="cs"/>
          <w:b/>
          <w:spacing w:val="0"/>
          <w:szCs w:val="24"/>
          <w:rtl/>
        </w:rPr>
        <w:t>א' ויתקון</w:t>
      </w:r>
      <w:r w:rsidRPr="00034EDD">
        <w:rPr>
          <w:rFonts w:ascii="Century" w:hAnsi="Century" w:hint="cs"/>
          <w:rtl/>
        </w:rPr>
        <w:t xml:space="preserve"> </w:t>
      </w:r>
      <w:r>
        <w:rPr>
          <w:rFonts w:ascii="Century" w:hAnsi="Century" w:hint="cs"/>
          <w:rtl/>
        </w:rPr>
        <w:t xml:space="preserve">בבג"ץ 665/79 </w:t>
      </w:r>
      <w:proofErr w:type="spellStart"/>
      <w:r w:rsidRPr="00034EDD">
        <w:rPr>
          <w:rFonts w:ascii="Century" w:hAnsi="Century" w:cs="Miriam" w:hint="cs"/>
          <w:b/>
          <w:spacing w:val="0"/>
          <w:szCs w:val="24"/>
          <w:rtl/>
        </w:rPr>
        <w:t>וינוגרד</w:t>
      </w:r>
      <w:proofErr w:type="spellEnd"/>
      <w:r w:rsidRPr="00034EDD">
        <w:rPr>
          <w:rFonts w:ascii="Century" w:hAnsi="Century" w:cs="Miriam" w:hint="cs"/>
          <w:b/>
          <w:spacing w:val="0"/>
          <w:szCs w:val="24"/>
          <w:rtl/>
        </w:rPr>
        <w:t xml:space="preserve"> נ' היועץ המשפטי לממשלה</w:t>
      </w:r>
      <w:r w:rsidRPr="00034EDD">
        <w:rPr>
          <w:rFonts w:ascii="Century" w:hAnsi="Century" w:hint="cs"/>
          <w:rtl/>
        </w:rPr>
        <w:t xml:space="preserve"> </w:t>
      </w:r>
      <w:r>
        <w:rPr>
          <w:rFonts w:ascii="Century" w:hAnsi="Century" w:hint="cs"/>
          <w:rtl/>
        </w:rPr>
        <w:t>פ"ד לד(2) 634, 639 (1980)).</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כך או אחרת, דומה</w:t>
      </w:r>
      <w:r>
        <w:rPr>
          <w:rFonts w:ascii="Century" w:hAnsi="Century" w:hint="cs"/>
          <w:rtl/>
        </w:rPr>
        <w:t xml:space="preserve">, כי </w:t>
      </w:r>
      <w:r w:rsidRPr="00657132">
        <w:rPr>
          <w:rFonts w:ascii="Century" w:hAnsi="Century" w:hint="cs"/>
          <w:rtl/>
        </w:rPr>
        <w:t>לאמיתו של דבר</w:t>
      </w:r>
      <w:r>
        <w:rPr>
          <w:rFonts w:hint="cs"/>
          <w:rtl/>
        </w:rPr>
        <w:t>,</w:t>
      </w:r>
      <w:r w:rsidRPr="00657132">
        <w:rPr>
          <w:rFonts w:ascii="Century" w:hAnsi="Century" w:hint="cs"/>
          <w:rtl/>
        </w:rPr>
        <w:t xml:space="preserve"> נכונותו של בית המשפט להתערב בשיקול הדעת המוקנה ליועמ"ש הוסיפה '</w:t>
      </w:r>
      <w:r w:rsidRPr="00472291">
        <w:rPr>
          <w:rFonts w:ascii="Century" w:hAnsi="Century" w:cs="Miriam" w:hint="eastAsia"/>
          <w:b/>
          <w:spacing w:val="0"/>
          <w:szCs w:val="24"/>
          <w:rtl/>
        </w:rPr>
        <w:t>להשתרע</w:t>
      </w:r>
      <w:r w:rsidRPr="00472291">
        <w:rPr>
          <w:rFonts w:ascii="Century" w:hAnsi="Century" w:cs="Miriam"/>
          <w:b/>
          <w:spacing w:val="0"/>
          <w:szCs w:val="24"/>
          <w:rtl/>
        </w:rPr>
        <w:t xml:space="preserve"> </w:t>
      </w:r>
      <w:r w:rsidRPr="00472291">
        <w:rPr>
          <w:rFonts w:ascii="Century" w:hAnsi="Century" w:cs="Miriam" w:hint="eastAsia"/>
          <w:b/>
          <w:spacing w:val="0"/>
          <w:szCs w:val="24"/>
          <w:rtl/>
        </w:rPr>
        <w:t>על</w:t>
      </w:r>
      <w:r w:rsidRPr="00472291">
        <w:rPr>
          <w:rFonts w:ascii="Century" w:hAnsi="Century" w:cs="Miriam"/>
          <w:b/>
          <w:spacing w:val="0"/>
          <w:szCs w:val="24"/>
          <w:rtl/>
        </w:rPr>
        <w:t xml:space="preserve"> </w:t>
      </w:r>
      <w:r w:rsidRPr="00472291">
        <w:rPr>
          <w:rFonts w:ascii="Century" w:hAnsi="Century" w:cs="Miriam" w:hint="eastAsia"/>
          <w:b/>
          <w:spacing w:val="0"/>
          <w:szCs w:val="24"/>
          <w:rtl/>
        </w:rPr>
        <w:t>שטח</w:t>
      </w:r>
      <w:r w:rsidRPr="00472291">
        <w:rPr>
          <w:rFonts w:ascii="Century" w:hAnsi="Century" w:cs="Miriam"/>
          <w:b/>
          <w:spacing w:val="0"/>
          <w:szCs w:val="24"/>
          <w:rtl/>
        </w:rPr>
        <w:t xml:space="preserve"> </w:t>
      </w:r>
      <w:r w:rsidRPr="00472291">
        <w:rPr>
          <w:rFonts w:ascii="Century" w:hAnsi="Century" w:cs="Miriam" w:hint="eastAsia"/>
          <w:b/>
          <w:spacing w:val="0"/>
          <w:szCs w:val="24"/>
          <w:rtl/>
        </w:rPr>
        <w:t>צר</w:t>
      </w:r>
      <w:r w:rsidRPr="00472291">
        <w:rPr>
          <w:rFonts w:ascii="Century" w:hAnsi="Century" w:cs="Miriam"/>
          <w:b/>
          <w:spacing w:val="0"/>
          <w:szCs w:val="24"/>
          <w:rtl/>
        </w:rPr>
        <w:t xml:space="preserve"> </w:t>
      </w:r>
      <w:r w:rsidRPr="00472291">
        <w:rPr>
          <w:rFonts w:ascii="Century" w:hAnsi="Century" w:cs="Miriam" w:hint="eastAsia"/>
          <w:b/>
          <w:spacing w:val="0"/>
          <w:szCs w:val="24"/>
          <w:rtl/>
        </w:rPr>
        <w:t>למדי</w:t>
      </w:r>
      <w:r w:rsidRPr="00657132">
        <w:rPr>
          <w:rFonts w:ascii="Century" w:hAnsi="Century" w:hint="cs"/>
          <w:rtl/>
        </w:rPr>
        <w:t>'</w:t>
      </w:r>
      <w:r>
        <w:rPr>
          <w:rFonts w:ascii="Century" w:hAnsi="Century" w:hint="cs"/>
          <w:rtl/>
        </w:rPr>
        <w:t xml:space="preserve"> (כלשון השופט</w:t>
      </w:r>
      <w:r w:rsidRPr="00472291">
        <w:rPr>
          <w:rFonts w:ascii="Century" w:hAnsi="Century" w:cs="Miriam"/>
          <w:b/>
          <w:spacing w:val="0"/>
          <w:szCs w:val="24"/>
          <w:rtl/>
        </w:rPr>
        <w:t xml:space="preserve"> </w:t>
      </w:r>
      <w:r w:rsidRPr="00472291">
        <w:rPr>
          <w:rFonts w:ascii="Century" w:hAnsi="Century" w:cs="Miriam" w:hint="eastAsia"/>
          <w:b/>
          <w:spacing w:val="0"/>
          <w:szCs w:val="24"/>
          <w:rtl/>
        </w:rPr>
        <w:t>אגרנט</w:t>
      </w:r>
      <w:r>
        <w:rPr>
          <w:rFonts w:ascii="Century" w:hAnsi="Century" w:hint="cs"/>
          <w:rtl/>
        </w:rPr>
        <w:t xml:space="preserve"> בעניין </w:t>
      </w:r>
      <w:r w:rsidRPr="00472291">
        <w:rPr>
          <w:rFonts w:ascii="Century" w:hAnsi="Century" w:cs="Miriam" w:hint="eastAsia"/>
          <w:b/>
          <w:spacing w:val="0"/>
          <w:szCs w:val="24"/>
          <w:rtl/>
        </w:rPr>
        <w:t>שור</w:t>
      </w:r>
      <w:r w:rsidRPr="00472291">
        <w:rPr>
          <w:rFonts w:ascii="Century" w:hAnsi="Century"/>
          <w:rtl/>
        </w:rPr>
        <w:t>)</w:t>
      </w:r>
      <w:r w:rsidRPr="00657132">
        <w:rPr>
          <w:rFonts w:ascii="Century" w:hAnsi="Century" w:hint="cs"/>
          <w:rtl/>
        </w:rPr>
        <w:t xml:space="preserve">. </w:t>
      </w:r>
      <w:r>
        <w:rPr>
          <w:rFonts w:ascii="Century" w:hAnsi="Century" w:hint="cs"/>
          <w:rtl/>
        </w:rPr>
        <w:t>זאת מכיוון</w:t>
      </w:r>
      <w:r w:rsidRPr="00657132">
        <w:rPr>
          <w:rFonts w:ascii="Century" w:hAnsi="Century" w:hint="cs"/>
          <w:rtl/>
        </w:rPr>
        <w:t xml:space="preserve"> </w:t>
      </w:r>
      <w:r>
        <w:rPr>
          <w:rFonts w:ascii="Century" w:hAnsi="Century" w:hint="cs"/>
          <w:rtl/>
        </w:rPr>
        <w:t>ש</w:t>
      </w:r>
      <w:r w:rsidRPr="00657132">
        <w:rPr>
          <w:rFonts w:ascii="Century" w:hAnsi="Century" w:hint="cs"/>
          <w:rtl/>
        </w:rPr>
        <w:t xml:space="preserve">את ההלכה הפסוקה בנדון מלווה הכלל </w:t>
      </w:r>
      <w:proofErr w:type="spellStart"/>
      <w:r w:rsidRPr="00657132">
        <w:rPr>
          <w:rFonts w:ascii="Century" w:hAnsi="Century" w:hint="cs"/>
          <w:rtl/>
        </w:rPr>
        <w:t>הנקוט</w:t>
      </w:r>
      <w:proofErr w:type="spellEnd"/>
      <w:r w:rsidRPr="00657132">
        <w:rPr>
          <w:rFonts w:ascii="Century" w:hAnsi="Century" w:hint="cs"/>
          <w:rtl/>
        </w:rPr>
        <w:t xml:space="preserve">, </w:t>
      </w:r>
      <w:r w:rsidRPr="00DE1D82">
        <w:rPr>
          <w:rFonts w:hint="cs"/>
          <w:rtl/>
        </w:rPr>
        <w:t>לפיו</w:t>
      </w:r>
      <w:r>
        <w:rPr>
          <w:rFonts w:hint="cs"/>
          <w:rtl/>
        </w:rPr>
        <w:t>,</w:t>
      </w:r>
      <w:r w:rsidRPr="00DE1D82">
        <w:rPr>
          <w:rFonts w:hint="cs"/>
          <w:rtl/>
        </w:rPr>
        <w:t xml:space="preserve"> אל לו לבית המשפט להחליף את שיקול דעת</w:t>
      </w:r>
      <w:r>
        <w:rPr>
          <w:rFonts w:hint="cs"/>
          <w:rtl/>
        </w:rPr>
        <w:t>ו</w:t>
      </w:r>
      <w:r w:rsidRPr="00DE1D82">
        <w:rPr>
          <w:rFonts w:hint="cs"/>
          <w:rtl/>
        </w:rPr>
        <w:t xml:space="preserve"> של </w:t>
      </w:r>
      <w:r>
        <w:rPr>
          <w:rFonts w:hint="cs"/>
          <w:rtl/>
        </w:rPr>
        <w:t xml:space="preserve">היועמ"ש </w:t>
      </w:r>
      <w:r w:rsidRPr="00DE1D82">
        <w:rPr>
          <w:rFonts w:hint="cs"/>
          <w:rtl/>
        </w:rPr>
        <w:t>בשיקול דעתו שלו, "</w:t>
      </w:r>
      <w:r w:rsidRPr="00657132">
        <w:rPr>
          <w:rFonts w:ascii="Century" w:hAnsi="Century" w:cs="Miriam" w:hint="cs"/>
          <w:b/>
          <w:spacing w:val="0"/>
          <w:szCs w:val="24"/>
          <w:rtl/>
        </w:rPr>
        <w:t>שאם לא כן יסיג בית-המשפט את גבולו של היועץ המשפטי לממשלה ויהפוך עצמו ל'יועץ משפטי על' ולמעין 'שופט חוקר'</w:t>
      </w:r>
      <w:r w:rsidRPr="00DE1D82">
        <w:rPr>
          <w:rFonts w:hint="cs"/>
          <w:rtl/>
        </w:rPr>
        <w:t xml:space="preserve">" (בג"ץ 2534/97 </w:t>
      </w:r>
      <w:r w:rsidRPr="00657132">
        <w:rPr>
          <w:rFonts w:ascii="Century" w:hAnsi="Century" w:cs="Miriam" w:hint="cs"/>
          <w:b/>
          <w:spacing w:val="0"/>
          <w:szCs w:val="24"/>
          <w:rtl/>
        </w:rPr>
        <w:t>יהב נ' פרקליטת המדינה</w:t>
      </w:r>
      <w:r w:rsidRPr="00DE1D82">
        <w:rPr>
          <w:rFonts w:hint="cs"/>
          <w:rtl/>
        </w:rPr>
        <w:t xml:space="preserve">, פ"ד נא(3) 1, </w:t>
      </w:r>
      <w:r>
        <w:rPr>
          <w:rFonts w:hint="cs"/>
          <w:rtl/>
        </w:rPr>
        <w:t>25</w:t>
      </w:r>
      <w:r w:rsidRPr="00DE1D82">
        <w:rPr>
          <w:rFonts w:hint="cs"/>
          <w:rtl/>
        </w:rPr>
        <w:t xml:space="preserve"> (1997)</w:t>
      </w:r>
      <w:r>
        <w:rPr>
          <w:rFonts w:hint="cs"/>
          <w:rtl/>
        </w:rPr>
        <w:t xml:space="preserve"> (להלן: </w:t>
      </w:r>
      <w:r w:rsidRPr="00657132">
        <w:rPr>
          <w:rFonts w:ascii="Century" w:hAnsi="Century" w:cs="Miriam" w:hint="cs"/>
          <w:b/>
          <w:spacing w:val="0"/>
          <w:szCs w:val="24"/>
          <w:rtl/>
        </w:rPr>
        <w:t>עניין יהב</w:t>
      </w:r>
      <w:r>
        <w:rPr>
          <w:rFonts w:hint="cs"/>
          <w:rtl/>
        </w:rPr>
        <w:t>)); וכפי שציין השופט</w:t>
      </w:r>
      <w:r w:rsidRPr="00657132">
        <w:rPr>
          <w:rFonts w:ascii="Century" w:hAnsi="Century" w:cs="Miriam"/>
          <w:b/>
          <w:spacing w:val="0"/>
          <w:szCs w:val="24"/>
          <w:rtl/>
        </w:rPr>
        <w:t xml:space="preserve"> י' עמית</w:t>
      </w:r>
      <w:r w:rsidRPr="00AB7F5D">
        <w:rPr>
          <w:rFonts w:hint="cs"/>
          <w:rtl/>
        </w:rPr>
        <w:t xml:space="preserve"> </w:t>
      </w:r>
      <w:r>
        <w:rPr>
          <w:rFonts w:hint="cs"/>
          <w:rtl/>
        </w:rPr>
        <w:t xml:space="preserve">בבג"ץ 8814/18 </w:t>
      </w:r>
      <w:r w:rsidRPr="00657132">
        <w:rPr>
          <w:rFonts w:ascii="Century" w:hAnsi="Century" w:cs="Miriam" w:hint="eastAsia"/>
          <w:b/>
          <w:spacing w:val="0"/>
          <w:szCs w:val="24"/>
          <w:rtl/>
        </w:rPr>
        <w:t>שלו</w:t>
      </w:r>
      <w:r w:rsidRPr="00657132">
        <w:rPr>
          <w:rFonts w:ascii="Century" w:hAnsi="Century" w:cs="Miriam"/>
          <w:b/>
          <w:spacing w:val="0"/>
          <w:szCs w:val="24"/>
          <w:rtl/>
        </w:rPr>
        <w:t xml:space="preserve"> נ' מדינת ישראל – פרקליטות </w:t>
      </w:r>
      <w:r w:rsidRPr="00657132">
        <w:rPr>
          <w:rFonts w:ascii="Century" w:hAnsi="Century" w:cs="Miriam" w:hint="eastAsia"/>
          <w:b/>
          <w:spacing w:val="0"/>
          <w:szCs w:val="24"/>
          <w:rtl/>
        </w:rPr>
        <w:t>מחוז</w:t>
      </w:r>
      <w:r w:rsidRPr="00657132">
        <w:rPr>
          <w:rFonts w:ascii="Century" w:hAnsi="Century" w:cs="Miriam"/>
          <w:b/>
          <w:spacing w:val="0"/>
          <w:szCs w:val="24"/>
          <w:rtl/>
        </w:rPr>
        <w:t xml:space="preserve"> </w:t>
      </w:r>
      <w:r w:rsidRPr="00657132">
        <w:rPr>
          <w:rFonts w:ascii="Century" w:hAnsi="Century" w:cs="Miriam" w:hint="eastAsia"/>
          <w:b/>
          <w:spacing w:val="0"/>
          <w:szCs w:val="24"/>
          <w:rtl/>
        </w:rPr>
        <w:t>תל</w:t>
      </w:r>
      <w:r w:rsidRPr="00657132">
        <w:rPr>
          <w:rFonts w:ascii="Century" w:hAnsi="Century" w:cs="Miriam"/>
          <w:b/>
          <w:spacing w:val="0"/>
          <w:szCs w:val="24"/>
          <w:rtl/>
        </w:rPr>
        <w:t xml:space="preserve"> </w:t>
      </w:r>
      <w:r w:rsidRPr="00657132">
        <w:rPr>
          <w:rFonts w:ascii="Century" w:hAnsi="Century" w:cs="Miriam" w:hint="eastAsia"/>
          <w:b/>
          <w:spacing w:val="0"/>
          <w:szCs w:val="24"/>
          <w:rtl/>
        </w:rPr>
        <w:t>אביב</w:t>
      </w:r>
      <w:r>
        <w:rPr>
          <w:rFonts w:hint="cs"/>
          <w:rtl/>
        </w:rPr>
        <w:t xml:space="preserve">, פסקה 8 (27.01.2019) (להלן: </w:t>
      </w:r>
      <w:r w:rsidRPr="00657132">
        <w:rPr>
          <w:rFonts w:ascii="Century" w:hAnsi="Century" w:cs="Miriam" w:hint="cs"/>
          <w:b/>
          <w:spacing w:val="0"/>
          <w:szCs w:val="24"/>
          <w:rtl/>
        </w:rPr>
        <w:t>עניין שלו</w:t>
      </w:r>
      <w:r>
        <w:rPr>
          <w:rFonts w:hint="cs"/>
          <w:rtl/>
        </w:rPr>
        <w:t>):</w:t>
      </w:r>
    </w:p>
    <w:p w:rsidR="00DB6151" w:rsidRDefault="00DB6151" w:rsidP="00DB6151">
      <w:pPr>
        <w:pStyle w:val="Ruller5"/>
      </w:pPr>
      <w:r>
        <w:rPr>
          <w:rFonts w:hint="cs"/>
          <w:rtl/>
        </w:rPr>
        <w:t>"</w:t>
      </w:r>
      <w:r w:rsidRPr="00C44A95">
        <w:rPr>
          <w:rtl/>
        </w:rPr>
        <w:t>עשרות, אם לא מאות פעמים, נאמר בפסיקתו של בית משפט זה, כי נקודת המוצא היא, שלתביעה מסור שיקול דעת מקצועי רחב בסוגיות שונות הנוגעות להליך הפלילי על כל שלביו, החל מהחקירה, דרך הגשת כתב האישום וכלה בשלב הערעור.</w:t>
      </w:r>
      <w:r>
        <w:rPr>
          <w:rFonts w:hint="cs"/>
          <w:rtl/>
        </w:rPr>
        <w:t xml:space="preserve"> </w:t>
      </w:r>
      <w:r w:rsidRPr="00C44A95">
        <w:rPr>
          <w:rtl/>
        </w:rPr>
        <w:t>התערבות בשיקול דעת הרשויות תיעשה במשורה ובמקרים חריגים ונדירים בלבד, כאשר ההחלטה הנדונה לוקה בחוסר סבירות קיצוני</w:t>
      </w:r>
      <w:r>
        <w:rPr>
          <w:rFonts w:hint="cs"/>
          <w:rtl/>
        </w:rPr>
        <w:t xml:space="preserve"> [...]"</w:t>
      </w:r>
    </w:p>
    <w:p w:rsidR="00DB6151" w:rsidRPr="009E6817"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ויובהר, כי כבר נפסק ש</w:t>
      </w:r>
      <w:r w:rsidRPr="00D07DCF">
        <w:rPr>
          <w:rFonts w:ascii="Century" w:hAnsi="Century" w:hint="cs"/>
          <w:rtl/>
        </w:rPr>
        <w:t xml:space="preserve">הריסון השיפוטי </w:t>
      </w:r>
      <w:r>
        <w:rPr>
          <w:rFonts w:ascii="Century" w:hAnsi="Century" w:hint="cs"/>
          <w:rtl/>
        </w:rPr>
        <w:t>מ</w:t>
      </w:r>
      <w:r w:rsidRPr="00D07DCF">
        <w:rPr>
          <w:rFonts w:ascii="Century" w:hAnsi="Century" w:hint="cs"/>
          <w:rtl/>
        </w:rPr>
        <w:t>התערבות מסוג זה, כוחו יפה לכל אורך ההליך הפלילי</w:t>
      </w:r>
      <w:r>
        <w:rPr>
          <w:rFonts w:ascii="Century" w:hAnsi="Century" w:hint="cs"/>
          <w:rtl/>
        </w:rPr>
        <w:t xml:space="preserve">, </w:t>
      </w:r>
      <w:r w:rsidRPr="00D07DCF">
        <w:rPr>
          <w:rFonts w:ascii="Century" w:hAnsi="Century" w:hint="cs"/>
          <w:rtl/>
        </w:rPr>
        <w:t xml:space="preserve">וההלכות הנודעות יושמו גם במקרים שעניינם תקיפת החלטה שלא לפתוח בחקירה (עניין </w:t>
      </w:r>
      <w:proofErr w:type="spellStart"/>
      <w:r w:rsidRPr="00D07DCF">
        <w:rPr>
          <w:rFonts w:ascii="Century" w:hAnsi="Century" w:cs="Miriam" w:hint="cs"/>
          <w:b/>
          <w:spacing w:val="0"/>
          <w:szCs w:val="24"/>
          <w:rtl/>
        </w:rPr>
        <w:t>אלוביץ</w:t>
      </w:r>
      <w:proofErr w:type="spellEnd"/>
      <w:r>
        <w:rPr>
          <w:rFonts w:ascii="Century" w:hAnsi="Century" w:cs="Miriam" w:hint="cs"/>
          <w:b/>
          <w:spacing w:val="0"/>
          <w:szCs w:val="24"/>
          <w:rtl/>
        </w:rPr>
        <w:t>'</w:t>
      </w:r>
      <w:r w:rsidRPr="00D07DCF">
        <w:rPr>
          <w:rFonts w:ascii="Century" w:hAnsi="Century" w:hint="cs"/>
          <w:rtl/>
        </w:rPr>
        <w:t xml:space="preserve">; עניין </w:t>
      </w:r>
      <w:r w:rsidRPr="00D07DCF">
        <w:rPr>
          <w:rFonts w:ascii="Century" w:hAnsi="Century" w:cs="Miriam" w:hint="cs"/>
          <w:b/>
          <w:spacing w:val="0"/>
          <w:szCs w:val="24"/>
          <w:rtl/>
        </w:rPr>
        <w:t>ליברמן</w:t>
      </w:r>
      <w:r w:rsidRPr="00D07DCF">
        <w:rPr>
          <w:rFonts w:ascii="Century" w:hAnsi="Century" w:hint="cs"/>
          <w:rtl/>
        </w:rPr>
        <w:t xml:space="preserve">; </w:t>
      </w:r>
      <w:r>
        <w:rPr>
          <w:rFonts w:ascii="Century" w:hAnsi="Century" w:hint="cs"/>
          <w:rtl/>
        </w:rPr>
        <w:t xml:space="preserve">עניין </w:t>
      </w:r>
      <w:r>
        <w:rPr>
          <w:rFonts w:ascii="Century" w:hAnsi="Century" w:cs="Miriam" w:hint="cs"/>
          <w:b/>
          <w:spacing w:val="0"/>
          <w:szCs w:val="24"/>
          <w:rtl/>
        </w:rPr>
        <w:t>שלו</w:t>
      </w:r>
      <w:r>
        <w:rPr>
          <w:rFonts w:ascii="Century" w:hAnsi="Century" w:hint="cs"/>
          <w:rtl/>
        </w:rPr>
        <w:t>;</w:t>
      </w:r>
      <w:r>
        <w:rPr>
          <w:rFonts w:ascii="Century" w:hAnsi="Century" w:cs="Miriam" w:hint="cs"/>
          <w:b/>
          <w:spacing w:val="0"/>
          <w:szCs w:val="24"/>
          <w:rtl/>
        </w:rPr>
        <w:t xml:space="preserve"> </w:t>
      </w:r>
      <w:r w:rsidRPr="00D07DCF">
        <w:rPr>
          <w:rFonts w:ascii="Century" w:hAnsi="Century" w:hint="eastAsia"/>
          <w:rtl/>
        </w:rPr>
        <w:t>בג</w:t>
      </w:r>
      <w:r w:rsidRPr="00D07DCF">
        <w:rPr>
          <w:rFonts w:ascii="Century" w:hAnsi="Century"/>
          <w:rtl/>
        </w:rPr>
        <w:t>"</w:t>
      </w:r>
      <w:r w:rsidRPr="00D07DCF">
        <w:rPr>
          <w:rFonts w:ascii="Century" w:hAnsi="Century" w:hint="eastAsia"/>
          <w:rtl/>
        </w:rPr>
        <w:t>ץ</w:t>
      </w:r>
      <w:r w:rsidRPr="00D07DCF">
        <w:rPr>
          <w:rFonts w:ascii="Century" w:hAnsi="Century"/>
          <w:rtl/>
        </w:rPr>
        <w:t xml:space="preserve"> 1814/20</w:t>
      </w:r>
      <w:r w:rsidRPr="00D07DCF">
        <w:rPr>
          <w:rFonts w:ascii="Century" w:hAnsi="Century" w:hint="cs"/>
          <w:rtl/>
        </w:rPr>
        <w:t xml:space="preserve"> </w:t>
      </w:r>
      <w:r w:rsidRPr="00D07DCF">
        <w:rPr>
          <w:rFonts w:ascii="Century" w:hAnsi="Century" w:cs="Miriam" w:hint="cs"/>
          <w:b/>
          <w:spacing w:val="0"/>
          <w:szCs w:val="24"/>
          <w:rtl/>
        </w:rPr>
        <w:t xml:space="preserve">עד כאן-צעירים </w:t>
      </w:r>
      <w:r w:rsidRPr="00D07DCF">
        <w:rPr>
          <w:rFonts w:ascii="Century" w:hAnsi="Century" w:cs="Miriam" w:hint="cs"/>
          <w:b/>
          <w:spacing w:val="0"/>
          <w:szCs w:val="24"/>
          <w:rtl/>
        </w:rPr>
        <w:lastRenderedPageBreak/>
        <w:t xml:space="preserve">למען ישראל נ' היועץ המשפטי לממשלה </w:t>
      </w:r>
      <w:r w:rsidRPr="00D07DCF">
        <w:rPr>
          <w:rFonts w:ascii="Century" w:hAnsi="Century" w:hint="cs"/>
          <w:rtl/>
        </w:rPr>
        <w:t>(12.10.2020);</w:t>
      </w:r>
      <w:r>
        <w:rPr>
          <w:rFonts w:hint="cs"/>
          <w:rtl/>
        </w:rPr>
        <w:t xml:space="preserve"> </w:t>
      </w:r>
      <w:r w:rsidRPr="00D07DCF">
        <w:rPr>
          <w:rFonts w:ascii="Century" w:hAnsi="Century" w:hint="eastAsia"/>
          <w:rtl/>
        </w:rPr>
        <w:t>בג</w:t>
      </w:r>
      <w:r w:rsidRPr="00D07DCF">
        <w:rPr>
          <w:rFonts w:ascii="Century" w:hAnsi="Century"/>
          <w:rtl/>
        </w:rPr>
        <w:t>"</w:t>
      </w:r>
      <w:r w:rsidRPr="00D07DCF">
        <w:rPr>
          <w:rFonts w:ascii="Century" w:hAnsi="Century" w:hint="eastAsia"/>
          <w:rtl/>
        </w:rPr>
        <w:t>ץ</w:t>
      </w:r>
      <w:r w:rsidRPr="00D07DCF">
        <w:rPr>
          <w:rFonts w:ascii="Century" w:hAnsi="Century"/>
          <w:rtl/>
        </w:rPr>
        <w:t xml:space="preserve"> 3089/20</w:t>
      </w:r>
      <w:r w:rsidRPr="00D07DCF">
        <w:rPr>
          <w:rFonts w:ascii="Century" w:hAnsi="Century" w:hint="cs"/>
          <w:rtl/>
        </w:rPr>
        <w:t xml:space="preserve"> </w:t>
      </w:r>
      <w:r w:rsidRPr="00D07DCF">
        <w:rPr>
          <w:rFonts w:ascii="Century" w:hAnsi="Century" w:cs="Miriam" w:hint="cs"/>
          <w:b/>
          <w:spacing w:val="0"/>
          <w:szCs w:val="24"/>
          <w:rtl/>
        </w:rPr>
        <w:t>נץ-</w:t>
      </w:r>
      <w:proofErr w:type="spellStart"/>
      <w:r w:rsidRPr="00D07DCF">
        <w:rPr>
          <w:rFonts w:ascii="Century" w:hAnsi="Century" w:cs="Miriam" w:hint="cs"/>
          <w:b/>
          <w:spacing w:val="0"/>
          <w:szCs w:val="24"/>
          <w:rtl/>
        </w:rPr>
        <w:t>צנגוט</w:t>
      </w:r>
      <w:proofErr w:type="spellEnd"/>
      <w:r w:rsidRPr="00D07DCF">
        <w:rPr>
          <w:rFonts w:ascii="Century" w:hAnsi="Century" w:cs="Miriam" w:hint="cs"/>
          <w:b/>
          <w:spacing w:val="0"/>
          <w:szCs w:val="24"/>
          <w:rtl/>
        </w:rPr>
        <w:t xml:space="preserve"> נ' ממשלת ישראל</w:t>
      </w:r>
      <w:r w:rsidRPr="00D07DCF">
        <w:rPr>
          <w:rFonts w:ascii="Century" w:hAnsi="Century" w:hint="cs"/>
          <w:rtl/>
        </w:rPr>
        <w:t xml:space="preserve"> (26.10.2020)</w:t>
      </w:r>
      <w:r>
        <w:rPr>
          <w:rFonts w:hint="cs"/>
          <w:rtl/>
        </w:rPr>
        <w:t>).</w:t>
      </w:r>
    </w:p>
    <w:p w:rsidR="00DB6151" w:rsidRPr="004865FA" w:rsidRDefault="00DB6151" w:rsidP="00DB6151">
      <w:pPr>
        <w:pStyle w:val="Ruller41"/>
        <w:numPr>
          <w:ilvl w:val="0"/>
          <w:numId w:val="13"/>
        </w:numPr>
        <w:overflowPunct/>
        <w:autoSpaceDE/>
        <w:autoSpaceDN/>
        <w:adjustRightInd/>
        <w:spacing w:before="240" w:after="240"/>
        <w:ind w:left="0" w:firstLine="0"/>
        <w:textAlignment w:val="auto"/>
      </w:pPr>
      <w:r>
        <w:rPr>
          <w:rFonts w:hint="cs"/>
          <w:sz w:val="28"/>
          <w:rtl/>
        </w:rPr>
        <w:t xml:space="preserve">ודוק. </w:t>
      </w:r>
      <w:r w:rsidRPr="00BB5E9B">
        <w:rPr>
          <w:rFonts w:hint="cs"/>
          <w:sz w:val="28"/>
          <w:rtl/>
        </w:rPr>
        <w:t>כיבוד מוסד היועמ"ש</w:t>
      </w:r>
      <w:r>
        <w:rPr>
          <w:rFonts w:hint="cs"/>
          <w:sz w:val="28"/>
          <w:rtl/>
        </w:rPr>
        <w:t xml:space="preserve"> והרצון להימנע מהסגת גבולו מבוסס על שני טעמים מרכזיים, הכרוכים זה בזה במידת מה. הטעם הראשון, הוא </w:t>
      </w:r>
      <w:r w:rsidRPr="00BB5E9B">
        <w:rPr>
          <w:rFonts w:hint="cs"/>
          <w:sz w:val="28"/>
          <w:rtl/>
        </w:rPr>
        <w:t>ההכרה בכך שעבודת מערכת אכיפת החוק היא עניין שבמומחיות</w:t>
      </w:r>
      <w:r>
        <w:rPr>
          <w:rFonts w:hint="cs"/>
          <w:sz w:val="28"/>
          <w:rtl/>
        </w:rPr>
        <w:t>,</w:t>
      </w:r>
      <w:r w:rsidRPr="00484EDA">
        <w:rPr>
          <w:rFonts w:hint="cs"/>
          <w:sz w:val="28"/>
          <w:rtl/>
        </w:rPr>
        <w:t xml:space="preserve"> </w:t>
      </w:r>
      <w:r>
        <w:rPr>
          <w:rFonts w:hint="cs"/>
          <w:sz w:val="28"/>
          <w:rtl/>
        </w:rPr>
        <w:t>וזאת גם</w:t>
      </w:r>
      <w:r w:rsidRPr="00BB5E9B">
        <w:rPr>
          <w:rFonts w:hint="cs"/>
          <w:sz w:val="28"/>
          <w:rtl/>
        </w:rPr>
        <w:t xml:space="preserve"> בכל הנוגע לפתיחה בחקירה</w:t>
      </w:r>
      <w:r>
        <w:rPr>
          <w:rFonts w:hint="cs"/>
          <w:sz w:val="28"/>
          <w:rtl/>
        </w:rPr>
        <w:t>.</w:t>
      </w:r>
      <w:r w:rsidRPr="00BB5E9B">
        <w:rPr>
          <w:rFonts w:hint="cs"/>
          <w:sz w:val="28"/>
          <w:rtl/>
        </w:rPr>
        <w:t xml:space="preserve"> </w:t>
      </w:r>
      <w:r>
        <w:rPr>
          <w:rFonts w:hint="cs"/>
          <w:sz w:val="28"/>
          <w:rtl/>
        </w:rPr>
        <w:t>הטעם השני,</w:t>
      </w:r>
      <w:r w:rsidRPr="00BB5E9B">
        <w:rPr>
          <w:rFonts w:hint="cs"/>
          <w:sz w:val="28"/>
          <w:rtl/>
        </w:rPr>
        <w:t xml:space="preserve"> </w:t>
      </w:r>
      <w:r>
        <w:rPr>
          <w:rFonts w:hint="cs"/>
          <w:sz w:val="28"/>
          <w:rtl/>
        </w:rPr>
        <w:t>קשור</w:t>
      </w:r>
      <w:r w:rsidRPr="00BB5E9B">
        <w:rPr>
          <w:rFonts w:hint="cs"/>
          <w:sz w:val="28"/>
          <w:rtl/>
        </w:rPr>
        <w:t xml:space="preserve"> </w:t>
      </w:r>
      <w:r>
        <w:rPr>
          <w:rFonts w:ascii="Century" w:hAnsi="Century" w:hint="cs"/>
          <w:rtl/>
        </w:rPr>
        <w:t>ב</w:t>
      </w:r>
      <w:r w:rsidRPr="00CA1236">
        <w:rPr>
          <w:rFonts w:ascii="Century" w:hAnsi="Century" w:hint="cs"/>
          <w:rtl/>
        </w:rPr>
        <w:t>פגיעה המוסדית</w:t>
      </w:r>
      <w:r w:rsidRPr="00CA1236">
        <w:rPr>
          <w:rFonts w:hint="cs"/>
          <w:sz w:val="28"/>
          <w:rtl/>
        </w:rPr>
        <w:t xml:space="preserve"> </w:t>
      </w:r>
      <w:r>
        <w:rPr>
          <w:rFonts w:hint="cs"/>
          <w:sz w:val="28"/>
          <w:rtl/>
        </w:rPr>
        <w:t>הכרוכה בהתערבות</w:t>
      </w:r>
      <w:r w:rsidRPr="00BB5E9B">
        <w:rPr>
          <w:rFonts w:hint="cs"/>
          <w:sz w:val="28"/>
          <w:rtl/>
        </w:rPr>
        <w:t xml:space="preserve"> </w:t>
      </w:r>
      <w:r>
        <w:rPr>
          <w:rFonts w:hint="cs"/>
          <w:sz w:val="28"/>
          <w:rtl/>
        </w:rPr>
        <w:t>שכזו</w:t>
      </w:r>
      <w:r w:rsidRPr="00BB5E9B">
        <w:rPr>
          <w:rFonts w:hint="cs"/>
          <w:sz w:val="28"/>
          <w:rtl/>
        </w:rPr>
        <w:t xml:space="preserve">. </w:t>
      </w:r>
      <w:r>
        <w:rPr>
          <w:rFonts w:hint="cs"/>
          <w:sz w:val="28"/>
          <w:rtl/>
        </w:rPr>
        <w:t xml:space="preserve">שכן, </w:t>
      </w:r>
      <w:r w:rsidRPr="00BB5E9B">
        <w:rPr>
          <w:rFonts w:hint="cs"/>
          <w:sz w:val="28"/>
          <w:rtl/>
        </w:rPr>
        <w:t>כאשר חקירה נפתחת בהוראת בית המשפט, בניגוד להחלטת רשויות אכיפת החוק</w:t>
      </w:r>
      <w:r>
        <w:rPr>
          <w:rFonts w:hint="cs"/>
          <w:sz w:val="28"/>
          <w:rtl/>
        </w:rPr>
        <w:t xml:space="preserve"> </w:t>
      </w:r>
      <w:r w:rsidRPr="00BB5E9B">
        <w:rPr>
          <w:rFonts w:hint="cs"/>
          <w:sz w:val="28"/>
          <w:rtl/>
        </w:rPr>
        <w:t>להן נמסר תפקיד זה, מתערער</w:t>
      </w:r>
      <w:r>
        <w:rPr>
          <w:rFonts w:hint="cs"/>
          <w:sz w:val="28"/>
          <w:rtl/>
        </w:rPr>
        <w:t>ים</w:t>
      </w:r>
      <w:r w:rsidRPr="00BB5E9B">
        <w:rPr>
          <w:rFonts w:hint="cs"/>
          <w:sz w:val="28"/>
          <w:rtl/>
        </w:rPr>
        <w:t xml:space="preserve"> האיזון העדין וחלוקת העבודה בין הרשויות, באופן המקים חשש שבית המשפט יהפוך למעין </w:t>
      </w:r>
      <w:r>
        <w:rPr>
          <w:rFonts w:hint="cs"/>
          <w:sz w:val="28"/>
          <w:rtl/>
        </w:rPr>
        <w:t xml:space="preserve">'יועץ משפטי-על', כאשר כבר הוקצה לו תפקיד בגדר ההליך הפלילי, והוא כמובן מלאכת </w:t>
      </w:r>
      <w:r w:rsidRPr="00F96B0A">
        <w:rPr>
          <w:rFonts w:hint="cs"/>
          <w:sz w:val="28"/>
          <w:rtl/>
        </w:rPr>
        <w:t xml:space="preserve">השפיטה </w:t>
      </w:r>
      <w:r w:rsidRPr="00C90C20">
        <w:rPr>
          <w:sz w:val="28"/>
          <w:rtl/>
        </w:rPr>
        <w:t>(</w:t>
      </w:r>
      <w:r w:rsidRPr="00C90C20">
        <w:rPr>
          <w:rFonts w:hint="eastAsia"/>
          <w:rtl/>
        </w:rPr>
        <w:t>בג</w:t>
      </w:r>
      <w:r w:rsidRPr="00C90C20">
        <w:rPr>
          <w:rtl/>
        </w:rPr>
        <w:t xml:space="preserve">"ץ 6087/17 </w:t>
      </w:r>
      <w:r w:rsidRPr="00C90C20">
        <w:rPr>
          <w:rFonts w:ascii="Century" w:hAnsi="Century" w:cs="Miriam" w:hint="eastAsia"/>
          <w:b/>
          <w:spacing w:val="0"/>
          <w:szCs w:val="24"/>
          <w:rtl/>
        </w:rPr>
        <w:t>אייבי</w:t>
      </w:r>
      <w:r w:rsidRPr="00C90C20">
        <w:rPr>
          <w:rFonts w:ascii="Century" w:hAnsi="Century" w:cs="Miriam"/>
          <w:b/>
          <w:spacing w:val="0"/>
          <w:szCs w:val="24"/>
          <w:rtl/>
        </w:rPr>
        <w:t xml:space="preserve"> </w:t>
      </w:r>
      <w:r w:rsidRPr="00C90C20">
        <w:rPr>
          <w:rFonts w:ascii="Century" w:hAnsi="Century" w:cs="Miriam" w:hint="eastAsia"/>
          <w:b/>
          <w:spacing w:val="0"/>
          <w:szCs w:val="24"/>
          <w:rtl/>
        </w:rPr>
        <w:t>נ</w:t>
      </w:r>
      <w:r w:rsidRPr="00C90C20">
        <w:rPr>
          <w:rFonts w:ascii="Century" w:hAnsi="Century" w:cs="Miriam"/>
          <w:b/>
          <w:spacing w:val="0"/>
          <w:szCs w:val="24"/>
          <w:rtl/>
        </w:rPr>
        <w:t xml:space="preserve">' </w:t>
      </w:r>
      <w:r w:rsidRPr="00C90C20">
        <w:rPr>
          <w:rFonts w:ascii="Century" w:hAnsi="Century" w:cs="Miriam" w:hint="eastAsia"/>
          <w:b/>
          <w:spacing w:val="0"/>
          <w:szCs w:val="24"/>
          <w:rtl/>
        </w:rPr>
        <w:t>היועץ</w:t>
      </w:r>
      <w:r w:rsidRPr="00C90C20">
        <w:rPr>
          <w:rFonts w:ascii="Century" w:hAnsi="Century" w:cs="Miriam"/>
          <w:b/>
          <w:spacing w:val="0"/>
          <w:szCs w:val="24"/>
          <w:rtl/>
        </w:rPr>
        <w:t xml:space="preserve"> </w:t>
      </w:r>
      <w:r w:rsidRPr="00C90C20">
        <w:rPr>
          <w:rFonts w:ascii="Century" w:hAnsi="Century" w:cs="Miriam" w:hint="eastAsia"/>
          <w:b/>
          <w:spacing w:val="0"/>
          <w:szCs w:val="24"/>
          <w:rtl/>
        </w:rPr>
        <w:t>המשפטי</w:t>
      </w:r>
      <w:r w:rsidRPr="00C90C20">
        <w:rPr>
          <w:rFonts w:ascii="Century" w:hAnsi="Century" w:cs="Miriam"/>
          <w:b/>
          <w:spacing w:val="0"/>
          <w:szCs w:val="24"/>
          <w:rtl/>
        </w:rPr>
        <w:t xml:space="preserve"> </w:t>
      </w:r>
      <w:r w:rsidRPr="00C90C20">
        <w:rPr>
          <w:rFonts w:ascii="Century" w:hAnsi="Century" w:cs="Miriam" w:hint="eastAsia"/>
          <w:b/>
          <w:spacing w:val="0"/>
          <w:szCs w:val="24"/>
          <w:rtl/>
        </w:rPr>
        <w:t>לממשלה</w:t>
      </w:r>
      <w:r w:rsidRPr="00C90C20">
        <w:rPr>
          <w:rtl/>
        </w:rPr>
        <w:t xml:space="preserve">, </w:t>
      </w:r>
      <w:r w:rsidRPr="00C90C20">
        <w:rPr>
          <w:rFonts w:hint="eastAsia"/>
          <w:rtl/>
        </w:rPr>
        <w:t>פסקאות</w:t>
      </w:r>
      <w:r w:rsidRPr="00C90C20">
        <w:rPr>
          <w:rtl/>
        </w:rPr>
        <w:t xml:space="preserve"> 5-4 (24.09.2017)</w:t>
      </w:r>
      <w:r w:rsidRPr="00C90C20">
        <w:rPr>
          <w:sz w:val="28"/>
          <w:rtl/>
        </w:rPr>
        <w:t>)</w:t>
      </w:r>
      <w:r w:rsidRPr="00F96B0A">
        <w:rPr>
          <w:rFonts w:hint="cs"/>
          <w:sz w:val="28"/>
          <w:rtl/>
        </w:rPr>
        <w:t>.</w:t>
      </w:r>
      <w:r w:rsidRPr="006354F9">
        <w:rPr>
          <w:rFonts w:hint="cs"/>
          <w:sz w:val="28"/>
          <w:rtl/>
        </w:rPr>
        <w:t xml:space="preserve"> </w:t>
      </w:r>
    </w:p>
    <w:p w:rsidR="00DB6151" w:rsidRDefault="00DB6151" w:rsidP="00DB6151">
      <w:pPr>
        <w:pStyle w:val="Ruller41"/>
        <w:overflowPunct/>
        <w:autoSpaceDE/>
        <w:autoSpaceDN/>
        <w:adjustRightInd/>
        <w:spacing w:before="240" w:after="240"/>
        <w:textAlignment w:val="auto"/>
      </w:pPr>
      <w:r>
        <w:rPr>
          <w:sz w:val="28"/>
          <w:rtl/>
        </w:rPr>
        <w:tab/>
      </w:r>
      <w:r>
        <w:rPr>
          <w:rFonts w:hint="cs"/>
          <w:rtl/>
        </w:rPr>
        <w:t>אשר על כן, זה מכבר נפסק, כי יש להקפיד הקפדה יתרה על הפרדת רשויות בהקשר זה, בבחינת</w:t>
      </w:r>
      <w:r>
        <w:rPr>
          <w:rFonts w:ascii="Century" w:hAnsi="Century" w:hint="cs"/>
          <w:rtl/>
        </w:rPr>
        <w:t xml:space="preserve"> אין מלכות נוגעת בחברתה אפילו כמלוא הנימה, </w:t>
      </w:r>
      <w:r>
        <w:rPr>
          <w:rFonts w:hint="cs"/>
          <w:rtl/>
        </w:rPr>
        <w:t xml:space="preserve">ולמצער אין היא צריכה לגעת; אלא במקרים חריגים שבחריגים. כפי שהיטיב חברי, השופט </w:t>
      </w:r>
      <w:r>
        <w:rPr>
          <w:rFonts w:ascii="Century" w:hAnsi="Century" w:cs="Miriam" w:hint="cs"/>
          <w:b/>
          <w:spacing w:val="0"/>
          <w:szCs w:val="24"/>
          <w:rtl/>
        </w:rPr>
        <w:t xml:space="preserve">נ' </w:t>
      </w:r>
      <w:r w:rsidRPr="00BB5E9B">
        <w:rPr>
          <w:rFonts w:ascii="Century" w:hAnsi="Century" w:cs="Miriam" w:hint="cs"/>
          <w:b/>
          <w:spacing w:val="0"/>
          <w:szCs w:val="24"/>
          <w:rtl/>
        </w:rPr>
        <w:t>סולברג</w:t>
      </w:r>
      <w:r>
        <w:rPr>
          <w:rFonts w:hint="cs"/>
          <w:rtl/>
        </w:rPr>
        <w:t>, לנסח בעניין אחר:</w:t>
      </w:r>
    </w:p>
    <w:p w:rsidR="00DB6151" w:rsidRDefault="00DB6151" w:rsidP="00DB6151">
      <w:pPr>
        <w:pStyle w:val="Ruller5"/>
        <w:rPr>
          <w:rtl/>
        </w:rPr>
      </w:pPr>
      <w:r>
        <w:rPr>
          <w:rFonts w:hint="cs"/>
          <w:rtl/>
        </w:rPr>
        <w:t>"</w:t>
      </w:r>
      <w:r w:rsidRPr="003D2029">
        <w:rPr>
          <w:rFonts w:hint="cs"/>
          <w:rtl/>
        </w:rPr>
        <w:t xml:space="preserve">אי-התערבות בהחלטותיהן של הרשויות המנהליות נחוצה והכרחית, לא רק מחמת מומחיותה ועדיפותה של הרשות המנהלית, אלא גם לשם שמירה על הפרדה בין רשויות השלטון השונות, ובלשונו של השופט (כתוארו אז) </w:t>
      </w:r>
      <w:r w:rsidRPr="003D2029">
        <w:rPr>
          <w:rFonts w:ascii="Century" w:hAnsi="Century" w:cs="Miriam" w:hint="cs"/>
          <w:b/>
          <w:spacing w:val="0"/>
          <w:szCs w:val="24"/>
          <w:rtl/>
        </w:rPr>
        <w:t>א' ברק</w:t>
      </w:r>
      <w:r w:rsidRPr="003D2029">
        <w:rPr>
          <w:rFonts w:hint="cs"/>
          <w:rtl/>
        </w:rPr>
        <w:t>: "זהו הביטוי לעקרון הפרדת הרשויות ולסובייקטיביות של שיקול הדעת המנהלי" (</w:t>
      </w:r>
      <w:r w:rsidRPr="003D2029">
        <w:rPr>
          <w:rtl/>
        </w:rPr>
        <w:t xml:space="preserve">בג"ץ 953/89 </w:t>
      </w:r>
      <w:proofErr w:type="spellStart"/>
      <w:r w:rsidRPr="003D2029">
        <w:rPr>
          <w:rFonts w:ascii="Century" w:hAnsi="Century" w:cs="Miriam"/>
          <w:b/>
          <w:spacing w:val="0"/>
          <w:szCs w:val="24"/>
          <w:rtl/>
        </w:rPr>
        <w:t>אינדור</w:t>
      </w:r>
      <w:proofErr w:type="spellEnd"/>
      <w:r w:rsidRPr="003D2029">
        <w:rPr>
          <w:rFonts w:ascii="Century" w:hAnsi="Century" w:cs="Miriam"/>
          <w:b/>
          <w:spacing w:val="0"/>
          <w:szCs w:val="24"/>
          <w:rtl/>
        </w:rPr>
        <w:t xml:space="preserve"> נ' ראש עיריית ירושלים</w:t>
      </w:r>
      <w:r w:rsidRPr="003D2029">
        <w:rPr>
          <w:rtl/>
        </w:rPr>
        <w:t>, פ"ד מה</w:t>
      </w:r>
      <w:r w:rsidRPr="003D2029">
        <w:rPr>
          <w:rFonts w:hint="cs"/>
          <w:rtl/>
        </w:rPr>
        <w:t xml:space="preserve">(4) 683, 694 (1991)). כל רשות וגדרי תפקידה, כל פקיד וסמכויותיו-הוא, "איש איש על עבודתו, ואֶל משׂאו" (במדבר ד, </w:t>
      </w:r>
      <w:proofErr w:type="spellStart"/>
      <w:r w:rsidRPr="003D2029">
        <w:rPr>
          <w:rFonts w:hint="cs"/>
          <w:rtl/>
        </w:rPr>
        <w:t>יט</w:t>
      </w:r>
      <w:proofErr w:type="spellEnd"/>
      <w:r w:rsidRPr="003D2029">
        <w:rPr>
          <w:rFonts w:hint="cs"/>
          <w:rtl/>
        </w:rPr>
        <w:t>). אלמלא הפרדה זו, איש את רעהו – סמכותו בלעוֹ</w:t>
      </w:r>
      <w:r>
        <w:rPr>
          <w:rFonts w:hint="cs"/>
          <w:rtl/>
        </w:rPr>
        <w:t xml:space="preserve">" (בג"ץ 4845/17 </w:t>
      </w:r>
      <w:proofErr w:type="spellStart"/>
      <w:r>
        <w:rPr>
          <w:rFonts w:ascii="Century" w:hAnsi="Century" w:cs="Miriam" w:hint="cs"/>
          <w:b/>
          <w:spacing w:val="0"/>
          <w:szCs w:val="24"/>
          <w:rtl/>
        </w:rPr>
        <w:t>חמדאן</w:t>
      </w:r>
      <w:proofErr w:type="spellEnd"/>
      <w:r w:rsidRPr="00BB5E9B">
        <w:rPr>
          <w:rFonts w:ascii="Century" w:hAnsi="Century" w:cs="Miriam" w:hint="cs"/>
          <w:b/>
          <w:spacing w:val="0"/>
          <w:szCs w:val="24"/>
          <w:rtl/>
        </w:rPr>
        <w:t xml:space="preserve"> נ' </w:t>
      </w:r>
      <w:r>
        <w:rPr>
          <w:rFonts w:ascii="Century" w:hAnsi="Century" w:cs="Miriam" w:hint="cs"/>
          <w:b/>
          <w:spacing w:val="0"/>
          <w:szCs w:val="24"/>
          <w:rtl/>
        </w:rPr>
        <w:t>היועץ המשפטי לממשלה</w:t>
      </w:r>
      <w:r>
        <w:rPr>
          <w:rFonts w:hint="cs"/>
          <w:rtl/>
        </w:rPr>
        <w:t xml:space="preserve">, פסקה 24 לחוות דעתו (בדעת מיעוט) (28.10.2019) (להלן: </w:t>
      </w:r>
      <w:r w:rsidRPr="00C90C20">
        <w:rPr>
          <w:rFonts w:ascii="Century" w:hAnsi="Century" w:cs="Miriam" w:hint="eastAsia"/>
          <w:b/>
          <w:spacing w:val="0"/>
          <w:szCs w:val="24"/>
          <w:rtl/>
        </w:rPr>
        <w:t>עניין</w:t>
      </w:r>
      <w:r w:rsidRPr="00C90C20">
        <w:rPr>
          <w:rFonts w:ascii="Century" w:hAnsi="Century" w:cs="Miriam"/>
          <w:b/>
          <w:spacing w:val="0"/>
          <w:szCs w:val="24"/>
          <w:rtl/>
        </w:rPr>
        <w:t xml:space="preserve"> </w:t>
      </w:r>
      <w:proofErr w:type="spellStart"/>
      <w:r w:rsidRPr="00C90C20">
        <w:rPr>
          <w:rFonts w:ascii="Century" w:hAnsi="Century" w:cs="Miriam" w:hint="eastAsia"/>
          <w:b/>
          <w:spacing w:val="0"/>
          <w:szCs w:val="24"/>
          <w:rtl/>
        </w:rPr>
        <w:t>חמדאן</w:t>
      </w:r>
      <w:proofErr w:type="spellEnd"/>
      <w:r>
        <w:rPr>
          <w:rFonts w:hint="cs"/>
          <w:rtl/>
        </w:rPr>
        <w:t>)).</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 xml:space="preserve">הנה כי כן, כבר כמעט 70 שנה </w:t>
      </w:r>
      <w:r w:rsidRPr="00C15300">
        <w:rPr>
          <w:rFonts w:ascii="FrankRuehl" w:hAnsi="FrankRuehl"/>
          <w:color w:val="333333"/>
          <w:sz w:val="28"/>
          <w:shd w:val="clear" w:color="auto" w:fill="FFFFFF"/>
          <w:rtl/>
        </w:rPr>
        <w:t xml:space="preserve">משננים </w:t>
      </w:r>
      <w:r>
        <w:rPr>
          <w:rFonts w:ascii="FrankRuehl" w:hAnsi="FrankRuehl" w:hint="cs"/>
          <w:color w:val="333333"/>
          <w:sz w:val="28"/>
          <w:shd w:val="clear" w:color="auto" w:fill="FFFFFF"/>
          <w:rtl/>
        </w:rPr>
        <w:t>שופטי בית משפט זה</w:t>
      </w:r>
      <w:r w:rsidRPr="00C15300">
        <w:rPr>
          <w:rFonts w:ascii="FrankRuehl" w:hAnsi="FrankRuehl" w:hint="cs"/>
          <w:color w:val="333333"/>
          <w:sz w:val="28"/>
          <w:shd w:val="clear" w:color="auto" w:fill="FFFFFF"/>
          <w:rtl/>
        </w:rPr>
        <w:t>,</w:t>
      </w:r>
      <w:r>
        <w:rPr>
          <w:rFonts w:hint="cs"/>
          <w:rtl/>
        </w:rPr>
        <w:t xml:space="preserve"> בנוסח זה או אחר, כי בעניינים המצויים</w:t>
      </w:r>
      <w:r w:rsidRPr="00936104">
        <w:rPr>
          <w:rFonts w:hint="cs"/>
          <w:rtl/>
        </w:rPr>
        <w:t xml:space="preserve"> בליבת שיקול דעת של </w:t>
      </w:r>
      <w:r>
        <w:rPr>
          <w:rFonts w:hint="cs"/>
          <w:rtl/>
        </w:rPr>
        <w:t>רשויות אכיפת החוק</w:t>
      </w:r>
      <w:r w:rsidRPr="003D2029">
        <w:rPr>
          <w:rFonts w:hint="cs"/>
          <w:rtl/>
        </w:rPr>
        <w:t xml:space="preserve"> ו</w:t>
      </w:r>
      <w:r>
        <w:rPr>
          <w:rFonts w:hint="cs"/>
          <w:rtl/>
        </w:rPr>
        <w:t>לבטח כאשר מדובר בשיקול הדעת של ה</w:t>
      </w:r>
      <w:r w:rsidRPr="003D2029">
        <w:rPr>
          <w:rFonts w:hint="cs"/>
          <w:rtl/>
        </w:rPr>
        <w:t xml:space="preserve">עומדים </w:t>
      </w:r>
      <w:r>
        <w:rPr>
          <w:rFonts w:ascii="Century" w:hAnsi="Century" w:hint="cs"/>
          <w:rtl/>
        </w:rPr>
        <w:t xml:space="preserve">בראשן של רשויות אלה, </w:t>
      </w:r>
      <w:r w:rsidRPr="00C15300">
        <w:rPr>
          <w:rFonts w:ascii="Century" w:hAnsi="Century" w:hint="cs"/>
          <w:rtl/>
        </w:rPr>
        <w:t>נכון כי</w:t>
      </w:r>
      <w:r w:rsidRPr="00C15300">
        <w:rPr>
          <w:rFonts w:ascii="Century" w:hAnsi="Century" w:cs="Miriam" w:hint="cs"/>
          <w:b/>
          <w:spacing w:val="0"/>
          <w:szCs w:val="24"/>
          <w:rtl/>
        </w:rPr>
        <w:t xml:space="preserve"> </w:t>
      </w:r>
      <w:r>
        <w:rPr>
          <w:rFonts w:ascii="Century" w:hAnsi="Century"/>
          <w:rtl/>
        </w:rPr>
        <w:t xml:space="preserve">התערבות </w:t>
      </w:r>
      <w:r>
        <w:rPr>
          <w:rFonts w:ascii="Century" w:hAnsi="Century" w:hint="cs"/>
          <w:rtl/>
        </w:rPr>
        <w:t>שיפוטית</w:t>
      </w:r>
      <w:r w:rsidRPr="00500E0B">
        <w:rPr>
          <w:rFonts w:ascii="Century" w:hAnsi="Century"/>
          <w:rtl/>
        </w:rPr>
        <w:t xml:space="preserve"> </w:t>
      </w:r>
      <w:r w:rsidRPr="00500E0B">
        <w:rPr>
          <w:rFonts w:ascii="Century" w:hAnsi="Century" w:hint="cs"/>
          <w:rtl/>
        </w:rPr>
        <w:t>"</w:t>
      </w:r>
      <w:r w:rsidRPr="00C15300">
        <w:rPr>
          <w:rFonts w:ascii="Century" w:hAnsi="Century" w:cs="Miriam"/>
          <w:b/>
          <w:spacing w:val="0"/>
          <w:szCs w:val="24"/>
          <w:rtl/>
        </w:rPr>
        <w:t>תֵעשה במשׂוּרה, במקרים חריגים בלבד, או כאשר נמצא כי יש בהחלטה שנתקבלה משום עיוות דין"</w:t>
      </w:r>
      <w:r w:rsidRPr="003D2029">
        <w:rPr>
          <w:rFonts w:hint="cs"/>
          <w:rtl/>
        </w:rPr>
        <w:t xml:space="preserve"> </w:t>
      </w:r>
      <w:r>
        <w:rPr>
          <w:rFonts w:hint="cs"/>
          <w:rtl/>
        </w:rPr>
        <w:t>(</w:t>
      </w:r>
      <w:r w:rsidRPr="003D2029">
        <w:rPr>
          <w:rtl/>
        </w:rPr>
        <w:t xml:space="preserve">בג"ץ 3927/20 </w:t>
      </w:r>
      <w:r w:rsidRPr="00C15300">
        <w:rPr>
          <w:rFonts w:ascii="Century" w:hAnsi="Century" w:cs="Miriam"/>
          <w:b/>
          <w:spacing w:val="0"/>
          <w:szCs w:val="24"/>
          <w:rtl/>
        </w:rPr>
        <w:t xml:space="preserve">דמתי נ' משרד המשפטים </w:t>
      </w:r>
      <w:r w:rsidRPr="00C15300">
        <w:rPr>
          <w:rFonts w:ascii="Century" w:hAnsi="Century"/>
          <w:rtl/>
        </w:rPr>
        <w:t>–</w:t>
      </w:r>
      <w:r w:rsidRPr="00C15300">
        <w:rPr>
          <w:rFonts w:ascii="Century" w:hAnsi="Century" w:cs="Miriam"/>
          <w:b/>
          <w:spacing w:val="0"/>
          <w:szCs w:val="24"/>
          <w:rtl/>
        </w:rPr>
        <w:t xml:space="preserve"> פרקליטות המדינה</w:t>
      </w:r>
      <w:r w:rsidRPr="00C15300">
        <w:rPr>
          <w:rFonts w:ascii="Century" w:hAnsi="Century" w:hint="cs"/>
          <w:rtl/>
        </w:rPr>
        <w:t>, פסקה 6</w:t>
      </w:r>
      <w:r w:rsidRPr="003D2029">
        <w:rPr>
          <w:rFonts w:hint="cs"/>
          <w:rtl/>
        </w:rPr>
        <w:t xml:space="preserve"> </w:t>
      </w:r>
      <w:r w:rsidRPr="003D2029">
        <w:rPr>
          <w:rtl/>
        </w:rPr>
        <w:t>(10.11.2020</w:t>
      </w:r>
      <w:r w:rsidRPr="00C15300">
        <w:rPr>
          <w:rFonts w:ascii="Century" w:hAnsi="Century" w:hint="cs"/>
          <w:rtl/>
        </w:rPr>
        <w:t>)</w:t>
      </w:r>
      <w:r>
        <w:rPr>
          <w:rFonts w:ascii="Century" w:hAnsi="Century" w:hint="cs"/>
          <w:rtl/>
        </w:rPr>
        <w:t>;</w:t>
      </w:r>
      <w:r>
        <w:rPr>
          <w:rFonts w:hint="cs"/>
          <w:rtl/>
        </w:rPr>
        <w:t xml:space="preserve"> </w:t>
      </w:r>
      <w:r w:rsidRPr="00500E0B">
        <w:rPr>
          <w:rtl/>
        </w:rPr>
        <w:t xml:space="preserve">בג"ץ 502/22 </w:t>
      </w:r>
      <w:r w:rsidRPr="00500E0B">
        <w:rPr>
          <w:rFonts w:ascii="Century" w:hAnsi="Century" w:cs="Miriam"/>
          <w:b/>
          <w:spacing w:val="0"/>
          <w:szCs w:val="24"/>
          <w:rtl/>
        </w:rPr>
        <w:t>פרנק נ' היועצת המשפטית לממשלה</w:t>
      </w:r>
      <w:r w:rsidRPr="00500E0B">
        <w:rPr>
          <w:rtl/>
        </w:rPr>
        <w:t>, פסקה 12 (</w:t>
      </w:r>
      <w:r w:rsidRPr="00500E0B">
        <w:rPr>
          <w:rFonts w:hint="cs"/>
          <w:rtl/>
        </w:rPr>
        <w:t>0</w:t>
      </w:r>
      <w:r w:rsidRPr="00500E0B">
        <w:rPr>
          <w:rtl/>
        </w:rPr>
        <w:t>6.</w:t>
      </w:r>
      <w:r w:rsidRPr="00500E0B">
        <w:rPr>
          <w:rFonts w:hint="cs"/>
          <w:rtl/>
        </w:rPr>
        <w:t>0</w:t>
      </w:r>
      <w:r w:rsidRPr="00500E0B">
        <w:rPr>
          <w:rtl/>
        </w:rPr>
        <w:t>4.2022)</w:t>
      </w:r>
      <w:r>
        <w:rPr>
          <w:rFonts w:hint="cs"/>
          <w:rtl/>
        </w:rPr>
        <w:t xml:space="preserve"> (להלן: </w:t>
      </w:r>
      <w:r w:rsidRPr="005537CF">
        <w:rPr>
          <w:rFonts w:ascii="Century" w:hAnsi="Century" w:cs="Miriam" w:hint="cs"/>
          <w:b/>
          <w:spacing w:val="0"/>
          <w:szCs w:val="24"/>
          <w:rtl/>
        </w:rPr>
        <w:t>עניין פרנק</w:t>
      </w:r>
      <w:r>
        <w:rPr>
          <w:rFonts w:hint="cs"/>
          <w:rtl/>
        </w:rPr>
        <w:t>)</w:t>
      </w:r>
      <w:r w:rsidRPr="00500E0B">
        <w:rPr>
          <w:rFonts w:ascii="Century" w:hAnsi="Century"/>
          <w:rtl/>
        </w:rPr>
        <w:t>)</w:t>
      </w:r>
      <w:r w:rsidRPr="00500E0B">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lastRenderedPageBreak/>
        <w:t>עתה, אפנה לעניין שלפנינו.</w:t>
      </w:r>
    </w:p>
    <w:p w:rsidR="00DB6151" w:rsidRDefault="00DB6151" w:rsidP="00DB6151">
      <w:pPr>
        <w:pStyle w:val="Ruller41"/>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ג.2. האם קמה עילה להתערבות בהחלטה מושא ענייננו?</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אחר דברים אלה, נשאלת השאלה האם יש מקום להתערבות </w:t>
      </w:r>
      <w:r>
        <w:rPr>
          <w:rFonts w:hint="cs"/>
          <w:spacing w:val="6"/>
          <w:rtl/>
        </w:rPr>
        <w:t xml:space="preserve">בהחלטת היועצת </w:t>
      </w:r>
      <w:r w:rsidRPr="0041504D">
        <w:rPr>
          <w:rFonts w:hint="cs"/>
          <w:spacing w:val="6"/>
          <w:rtl/>
        </w:rPr>
        <w:t xml:space="preserve">מיום </w:t>
      </w:r>
      <w:r>
        <w:rPr>
          <w:rFonts w:hint="cs"/>
          <w:spacing w:val="6"/>
          <w:rtl/>
        </w:rPr>
        <w:t>12.01.2023 על יסוד העתירה שהונחה לפנינו.</w:t>
      </w:r>
      <w:r>
        <w:rPr>
          <w:rFonts w:hint="cs"/>
          <w:rtl/>
        </w:rPr>
        <w:t xml:space="preserve"> תשובתי על כך היא בשלילה. לאחר ששקלתי בכובד ראש את טענות הצדדים </w:t>
      </w:r>
      <w:r>
        <w:rPr>
          <w:rtl/>
        </w:rPr>
        <w:t>–</w:t>
      </w:r>
      <w:r>
        <w:rPr>
          <w:rFonts w:hint="cs"/>
          <w:rtl/>
        </w:rPr>
        <w:t xml:space="preserve"> הגעתי לכלל מסקנה כי דין העתירה להידחות בהיעדר עילה להתערבותנו, וכך אציע לחברי וחברתי כי נורה. ואבאר.</w:t>
      </w:r>
    </w:p>
    <w:p w:rsidR="00DB6151" w:rsidRPr="002B3EFC"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כאמור</w:t>
      </w:r>
      <w:r w:rsidRPr="002B3EFC">
        <w:rPr>
          <w:rFonts w:hint="cs"/>
          <w:rtl/>
        </w:rPr>
        <w:t xml:space="preserve"> לעיל, מדיניות האכיפה</w:t>
      </w:r>
      <w:r>
        <w:rPr>
          <w:rFonts w:hint="cs"/>
          <w:rtl/>
        </w:rPr>
        <w:t xml:space="preserve"> הזהירה והמצומצמת</w:t>
      </w:r>
      <w:r w:rsidRPr="002B3EFC">
        <w:rPr>
          <w:rFonts w:hint="cs"/>
          <w:rtl/>
        </w:rPr>
        <w:t xml:space="preserve"> ב</w:t>
      </w:r>
      <w:r>
        <w:rPr>
          <w:rFonts w:hint="cs"/>
          <w:rtl/>
        </w:rPr>
        <w:t>יחס ל</w:t>
      </w:r>
      <w:r w:rsidRPr="002B3EFC">
        <w:rPr>
          <w:rFonts w:hint="cs"/>
          <w:rtl/>
        </w:rPr>
        <w:t xml:space="preserve">שאלה אם לפתוח בחקירה </w:t>
      </w:r>
      <w:r>
        <w:rPr>
          <w:rFonts w:hint="cs"/>
          <w:rtl/>
        </w:rPr>
        <w:t xml:space="preserve">בנוגע </w:t>
      </w:r>
      <w:r w:rsidRPr="002B3EFC">
        <w:rPr>
          <w:sz w:val="28"/>
          <w:rtl/>
        </w:rPr>
        <w:t>לעבירות של מסירת מידע</w:t>
      </w:r>
      <w:r>
        <w:rPr>
          <w:sz w:val="28"/>
          <w:rtl/>
        </w:rPr>
        <w:t xml:space="preserve"> האסור בגילוי על-ידי עובד ציבור</w:t>
      </w:r>
      <w:r>
        <w:rPr>
          <w:rFonts w:hint="cs"/>
          <w:sz w:val="28"/>
          <w:rtl/>
        </w:rPr>
        <w:t>,</w:t>
      </w:r>
      <w:r w:rsidRPr="002B3EFC">
        <w:rPr>
          <w:rFonts w:hint="cs"/>
          <w:sz w:val="28"/>
          <w:rtl/>
        </w:rPr>
        <w:t xml:space="preserve"> מוסדרת </w:t>
      </w:r>
      <w:r w:rsidRPr="002B3EFC">
        <w:rPr>
          <w:rFonts w:ascii="Century" w:hAnsi="Century"/>
          <w:rtl/>
        </w:rPr>
        <w:t>בהנחי</w:t>
      </w:r>
      <w:r w:rsidRPr="002B3EFC">
        <w:rPr>
          <w:rFonts w:ascii="Century" w:hAnsi="Century" w:hint="cs"/>
          <w:rtl/>
        </w:rPr>
        <w:t>ית היועץ</w:t>
      </w:r>
      <w:r>
        <w:rPr>
          <w:rFonts w:hint="cs"/>
          <w:sz w:val="28"/>
          <w:rtl/>
        </w:rPr>
        <w:t>, מתוך מטרה להביא לאיזון עדין בין כלל האינטרסים הצריכים לעניין</w:t>
      </w:r>
      <w:r w:rsidRPr="002B3EFC">
        <w:rPr>
          <w:rFonts w:ascii="Century" w:hAnsi="Century" w:hint="cs"/>
          <w:rtl/>
        </w:rPr>
        <w:t>.</w:t>
      </w:r>
      <w:r w:rsidRPr="002B3EFC">
        <w:rPr>
          <w:rtl/>
        </w:rPr>
        <w:t xml:space="preserve"> </w:t>
      </w:r>
      <w:r w:rsidRPr="002B3EFC">
        <w:rPr>
          <w:rFonts w:hint="cs"/>
          <w:rtl/>
        </w:rPr>
        <w:t xml:space="preserve">בהינתן האמור, ההנחיה </w:t>
      </w:r>
      <w:r>
        <w:rPr>
          <w:rFonts w:hint="cs"/>
          <w:sz w:val="28"/>
          <w:rtl/>
        </w:rPr>
        <w:t>מונה</w:t>
      </w:r>
      <w:r w:rsidRPr="002B3EFC">
        <w:rPr>
          <w:rFonts w:hint="cs"/>
          <w:sz w:val="28"/>
          <w:rtl/>
        </w:rPr>
        <w:t xml:space="preserve"> שלושה </w:t>
      </w:r>
      <w:r w:rsidRPr="002B3EFC">
        <w:rPr>
          <w:sz w:val="28"/>
          <w:rtl/>
        </w:rPr>
        <w:t>שיקולים מרכזיים</w:t>
      </w:r>
      <w:r w:rsidRPr="002B3EFC">
        <w:rPr>
          <w:rFonts w:hint="cs"/>
          <w:sz w:val="28"/>
          <w:rtl/>
        </w:rPr>
        <w:t xml:space="preserve"> </w:t>
      </w:r>
      <w:r>
        <w:rPr>
          <w:rFonts w:hint="cs"/>
          <w:sz w:val="28"/>
          <w:rtl/>
        </w:rPr>
        <w:t xml:space="preserve">שיש לבחון ולאזן ביניהם </w:t>
      </w:r>
      <w:r w:rsidRPr="002B3EFC">
        <w:rPr>
          <w:rFonts w:hint="cs"/>
          <w:sz w:val="28"/>
          <w:rtl/>
        </w:rPr>
        <w:t>בעת יישום מדיניות האכ</w:t>
      </w:r>
      <w:r>
        <w:rPr>
          <w:rFonts w:hint="cs"/>
          <w:sz w:val="28"/>
          <w:rtl/>
        </w:rPr>
        <w:t xml:space="preserve">יפה: </w:t>
      </w:r>
      <w:r w:rsidRPr="002B3EFC">
        <w:rPr>
          <w:sz w:val="28"/>
          <w:rtl/>
        </w:rPr>
        <w:t>עוצמת הפגיעה באינטרסים חיוניים כתוצאה ממסירת המידע</w:t>
      </w:r>
      <w:r w:rsidRPr="00AB7F5D">
        <w:rPr>
          <w:sz w:val="28"/>
          <w:rtl/>
        </w:rPr>
        <w:t xml:space="preserve"> </w:t>
      </w:r>
      <w:r w:rsidRPr="002B3EFC">
        <w:rPr>
          <w:sz w:val="28"/>
          <w:rtl/>
        </w:rPr>
        <w:t>או פוטנציאל הפגיעה</w:t>
      </w:r>
      <w:r>
        <w:rPr>
          <w:rFonts w:hint="cs"/>
          <w:sz w:val="28"/>
          <w:rtl/>
        </w:rPr>
        <w:t xml:space="preserve"> באינטרסים אלו</w:t>
      </w:r>
      <w:r w:rsidRPr="002B3EFC">
        <w:rPr>
          <w:sz w:val="28"/>
          <w:rtl/>
        </w:rPr>
        <w:t xml:space="preserve">; </w:t>
      </w:r>
      <w:r w:rsidRPr="002B3EFC">
        <w:rPr>
          <w:rtl/>
        </w:rPr>
        <w:t>תוחלת החקירה ומורכבותה, ובפרט האפשרות להתחקות אחר זהות מוסר המידע</w:t>
      </w:r>
      <w:r w:rsidRPr="002B3EFC">
        <w:rPr>
          <w:rFonts w:hint="cs"/>
          <w:rtl/>
        </w:rPr>
        <w:t xml:space="preserve"> (זאת, </w:t>
      </w:r>
      <w:r>
        <w:rPr>
          <w:rFonts w:hint="cs"/>
          <w:rtl/>
        </w:rPr>
        <w:t>ככל שזהותו אינה ידועה.</w:t>
      </w:r>
      <w:r w:rsidRPr="002B3EFC">
        <w:rPr>
          <w:rFonts w:hint="cs"/>
          <w:rtl/>
        </w:rPr>
        <w:t xml:space="preserve"> </w:t>
      </w:r>
      <w:r>
        <w:rPr>
          <w:rFonts w:hint="cs"/>
          <w:rtl/>
        </w:rPr>
        <w:t>ו</w:t>
      </w:r>
      <w:r w:rsidRPr="002B3EFC">
        <w:rPr>
          <w:rFonts w:hint="cs"/>
          <w:rtl/>
        </w:rPr>
        <w:t xml:space="preserve">ראו </w:t>
      </w:r>
      <w:r>
        <w:rPr>
          <w:rFonts w:hint="cs"/>
          <w:rtl/>
        </w:rPr>
        <w:t>בהקשר זה</w:t>
      </w:r>
      <w:r w:rsidRPr="002B3EFC">
        <w:rPr>
          <w:rFonts w:hint="cs"/>
          <w:rtl/>
        </w:rPr>
        <w:t xml:space="preserve"> בג"ץ 6871/21 </w:t>
      </w:r>
      <w:proofErr w:type="spellStart"/>
      <w:r w:rsidRPr="002B3EFC">
        <w:rPr>
          <w:rFonts w:ascii="Century" w:hAnsi="Century" w:cs="Miriam" w:hint="cs"/>
          <w:b/>
          <w:spacing w:val="0"/>
          <w:szCs w:val="24"/>
          <w:rtl/>
        </w:rPr>
        <w:t>לנגוצקי</w:t>
      </w:r>
      <w:proofErr w:type="spellEnd"/>
      <w:r w:rsidRPr="002B3EFC">
        <w:rPr>
          <w:rFonts w:ascii="Century" w:hAnsi="Century" w:cs="Miriam" w:hint="cs"/>
          <w:b/>
          <w:spacing w:val="0"/>
          <w:szCs w:val="24"/>
          <w:rtl/>
        </w:rPr>
        <w:t xml:space="preserve"> נ' היועץ המשפטי לממשלה</w:t>
      </w:r>
      <w:r w:rsidRPr="002B3EFC">
        <w:rPr>
          <w:rFonts w:hint="cs"/>
          <w:rtl/>
        </w:rPr>
        <w:t>, בפרט בפסקה 23 (08.08.2022))</w:t>
      </w:r>
      <w:r w:rsidRPr="002B3EFC">
        <w:rPr>
          <w:rtl/>
        </w:rPr>
        <w:t>;</w:t>
      </w:r>
      <w:r w:rsidRPr="002B3EFC">
        <w:rPr>
          <w:sz w:val="28"/>
          <w:rtl/>
        </w:rPr>
        <w:t xml:space="preserve"> </w:t>
      </w:r>
      <w:r>
        <w:rPr>
          <w:rFonts w:hint="cs"/>
          <w:rtl/>
        </w:rPr>
        <w:t>ו</w:t>
      </w:r>
      <w:r w:rsidRPr="002B3EFC">
        <w:rPr>
          <w:rtl/>
        </w:rPr>
        <w:t xml:space="preserve">העניין הציבורי </w:t>
      </w:r>
      <w:r>
        <w:rPr>
          <w:rFonts w:hint="cs"/>
          <w:rtl/>
        </w:rPr>
        <w:t>ש</w:t>
      </w:r>
      <w:r w:rsidRPr="002B3EFC">
        <w:rPr>
          <w:rtl/>
        </w:rPr>
        <w:t xml:space="preserve">בחשיפת המידע, </w:t>
      </w:r>
      <w:r w:rsidRPr="002B3EFC">
        <w:rPr>
          <w:rFonts w:hint="cs"/>
          <w:rtl/>
        </w:rPr>
        <w:t>לאור</w:t>
      </w:r>
      <w:r w:rsidRPr="002B3EFC">
        <w:rPr>
          <w:rtl/>
        </w:rPr>
        <w:t xml:space="preserve"> חופש העיתונות וזכות הציבור לדעת</w:t>
      </w:r>
      <w:r w:rsidRPr="002B3EFC">
        <w:rPr>
          <w:rFonts w:hint="cs"/>
          <w:rtl/>
        </w:rPr>
        <w:t>.</w:t>
      </w:r>
      <w:r>
        <w:rPr>
          <w:rFonts w:hint="cs"/>
          <w:rtl/>
        </w:rPr>
        <w:t xml:space="preserve"> עוד נקבע בהנחיית היועץ, כי אמנם מדובר בשלושה שיקולים מרכזיים </w:t>
      </w:r>
      <w:r>
        <w:rPr>
          <w:rtl/>
        </w:rPr>
        <w:t>–</w:t>
      </w:r>
      <w:r>
        <w:rPr>
          <w:rFonts w:hint="cs"/>
          <w:rtl/>
        </w:rPr>
        <w:t xml:space="preserve"> אך הם אינם השיקולים היחידים שיש לקחת בחשבון. </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כפי שעולה מהמתואר לעיל, החלטת היועצת מושא ענייננו מבוססת, בעיקרו של דבר, על שני שיקולים מרכזיים </w:t>
      </w:r>
      <w:r>
        <w:rPr>
          <w:rtl/>
        </w:rPr>
        <w:t>–</w:t>
      </w:r>
      <w:r>
        <w:rPr>
          <w:rFonts w:hint="cs"/>
          <w:rtl/>
        </w:rPr>
        <w:t xml:space="preserve"> שיקול </w:t>
      </w:r>
      <w:r w:rsidRPr="002B3EFC">
        <w:rPr>
          <w:sz w:val="28"/>
          <w:rtl/>
        </w:rPr>
        <w:t>עוצמת הפגיעה או פוטנציאל הפגיעה באינטרסים חיוניים כתוצאה ממסירת המידע</w:t>
      </w:r>
      <w:r>
        <w:rPr>
          <w:rFonts w:hint="cs"/>
          <w:rtl/>
        </w:rPr>
        <w:t>;</w:t>
      </w:r>
      <w:r w:rsidDel="00482B07">
        <w:rPr>
          <w:rFonts w:hint="cs"/>
          <w:rtl/>
        </w:rPr>
        <w:t xml:space="preserve"> </w:t>
      </w:r>
      <w:r>
        <w:rPr>
          <w:rFonts w:hint="cs"/>
          <w:rtl/>
        </w:rPr>
        <w:t xml:space="preserve">ושיקול </w:t>
      </w:r>
      <w:r w:rsidRPr="002B3EFC">
        <w:rPr>
          <w:rtl/>
        </w:rPr>
        <w:t>תוחלת החקירה ומורכבותה, ובפרט האפשרות להתחקות אחר זהות מוסר המידע</w:t>
      </w:r>
      <w:r>
        <w:rPr>
          <w:rFonts w:hint="cs"/>
          <w:rtl/>
        </w:rPr>
        <w:t>. בהקשר זה יוזכר, כי לשיטת העותר "</w:t>
      </w:r>
      <w:r w:rsidRPr="0015713E">
        <w:rPr>
          <w:rFonts w:ascii="Century" w:hAnsi="Century" w:cs="Miriam" w:hint="eastAsia"/>
          <w:b/>
          <w:spacing w:val="0"/>
          <w:szCs w:val="24"/>
          <w:rtl/>
        </w:rPr>
        <w:t>המשקל</w:t>
      </w:r>
      <w:r w:rsidRPr="00482B07">
        <w:rPr>
          <w:rFonts w:ascii="Century" w:hAnsi="Century" w:cs="Miriam"/>
          <w:b/>
          <w:spacing w:val="0"/>
          <w:szCs w:val="24"/>
          <w:rtl/>
        </w:rPr>
        <w:t xml:space="preserve"> </w:t>
      </w:r>
      <w:r w:rsidRPr="00482B07">
        <w:rPr>
          <w:rFonts w:ascii="Century" w:hAnsi="Century" w:cs="Miriam" w:hint="eastAsia"/>
          <w:b/>
          <w:spacing w:val="0"/>
          <w:szCs w:val="24"/>
          <w:rtl/>
        </w:rPr>
        <w:t>המרכזי</w:t>
      </w:r>
      <w:r>
        <w:rPr>
          <w:rFonts w:hint="cs"/>
          <w:rtl/>
        </w:rPr>
        <w:t>" בהחלטה ניתן לשיקול הפגיעה או פוטנציאל הפגיעה באינטרסים מוגנים. מנגד, טוענת היועצת כי ההחלטה היא פרי איזון בין השיקולים השונים. כפי שיעלה מהמשך הדברים, לא בכדי ניטשה מחלוקת זו בין הצדדים לעתירה שלפנינו. אדון אפוא בשיקולים אלו כסדרם, תוך שנזכור ונזכיר כי בית משפט זה אינו בוחן את תבונת החלטת היועצת או את השאלה איזו החלטה הוא היה מקבל בנעליה; אלא האם נפלו בהחלטתה פגמים מהסוג המצדיק התערבות. הכול כפי שפורט לעיל.</w:t>
      </w:r>
    </w:p>
    <w:p w:rsidR="00DB6151" w:rsidRPr="00C90C20" w:rsidRDefault="00DB6151" w:rsidP="00DB6151">
      <w:pPr>
        <w:pStyle w:val="Ruller41"/>
        <w:keepNext/>
        <w:overflowPunct/>
        <w:autoSpaceDE/>
        <w:autoSpaceDN/>
        <w:adjustRightInd/>
        <w:spacing w:before="240" w:after="240"/>
        <w:textAlignment w:val="auto"/>
        <w:rPr>
          <w:rFonts w:ascii="Century" w:hAnsi="Century" w:cs="Miriam"/>
          <w:b/>
          <w:spacing w:val="0"/>
          <w:szCs w:val="24"/>
        </w:rPr>
      </w:pPr>
      <w:r>
        <w:rPr>
          <w:rFonts w:ascii="Century" w:hAnsi="Century" w:cs="Miriam" w:hint="cs"/>
          <w:b/>
          <w:spacing w:val="0"/>
          <w:szCs w:val="24"/>
          <w:rtl/>
        </w:rPr>
        <w:t>ג.2.א. עוצמת הפגיעה באינטרסים חיוניים</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כאמור, בהחלטת היועצת נטען, כי בענייננו אין בדליפת המידע כדי להצדיק שימוש בכלי הפלילי, וזאת</w:t>
      </w:r>
      <w:r w:rsidRPr="008E2505">
        <w:rPr>
          <w:rFonts w:ascii="Century" w:hAnsi="Century" w:cs="Miriam"/>
          <w:b/>
          <w:spacing w:val="0"/>
          <w:szCs w:val="24"/>
          <w:rtl/>
        </w:rPr>
        <w:t xml:space="preserve"> "גם </w:t>
      </w:r>
      <w:r w:rsidRPr="008E2505">
        <w:rPr>
          <w:rFonts w:ascii="Century" w:hAnsi="Century" w:cs="Miriam" w:hint="eastAsia"/>
          <w:b/>
          <w:spacing w:val="0"/>
          <w:szCs w:val="24"/>
          <w:rtl/>
        </w:rPr>
        <w:t>אם</w:t>
      </w:r>
      <w:r w:rsidRPr="008E2505">
        <w:rPr>
          <w:rFonts w:ascii="Century" w:hAnsi="Century" w:cs="Miriam"/>
          <w:b/>
          <w:spacing w:val="0"/>
          <w:szCs w:val="24"/>
          <w:rtl/>
        </w:rPr>
        <w:t xml:space="preserve"> </w:t>
      </w:r>
      <w:r w:rsidRPr="008E2505">
        <w:rPr>
          <w:rFonts w:ascii="Century" w:hAnsi="Century" w:cs="Miriam" w:hint="eastAsia"/>
          <w:b/>
          <w:spacing w:val="0"/>
          <w:szCs w:val="24"/>
          <w:rtl/>
        </w:rPr>
        <w:t>נניח</w:t>
      </w:r>
      <w:r w:rsidRPr="008E2505">
        <w:rPr>
          <w:rFonts w:ascii="Century" w:hAnsi="Century" w:cs="Miriam"/>
          <w:b/>
          <w:spacing w:val="0"/>
          <w:szCs w:val="24"/>
          <w:rtl/>
        </w:rPr>
        <w:t xml:space="preserve"> </w:t>
      </w:r>
      <w:r w:rsidRPr="008E2505">
        <w:rPr>
          <w:rFonts w:ascii="Century" w:hAnsi="Century" w:cs="Miriam" w:hint="eastAsia"/>
          <w:b/>
          <w:spacing w:val="0"/>
          <w:szCs w:val="24"/>
          <w:rtl/>
        </w:rPr>
        <w:t>לעניין</w:t>
      </w:r>
      <w:r w:rsidRPr="008E2505">
        <w:rPr>
          <w:rFonts w:ascii="Century" w:hAnsi="Century" w:cs="Miriam"/>
          <w:b/>
          <w:spacing w:val="0"/>
          <w:szCs w:val="24"/>
          <w:rtl/>
        </w:rPr>
        <w:t xml:space="preserve"> </w:t>
      </w:r>
      <w:r w:rsidRPr="008E2505">
        <w:rPr>
          <w:rFonts w:ascii="Century" w:hAnsi="Century" w:cs="Miriam" w:hint="eastAsia"/>
          <w:b/>
          <w:spacing w:val="0"/>
          <w:szCs w:val="24"/>
          <w:rtl/>
        </w:rPr>
        <w:t>שאלת</w:t>
      </w:r>
      <w:r w:rsidRPr="008E2505">
        <w:rPr>
          <w:rFonts w:ascii="Century" w:hAnsi="Century" w:cs="Miriam"/>
          <w:b/>
          <w:spacing w:val="0"/>
          <w:szCs w:val="24"/>
          <w:rtl/>
        </w:rPr>
        <w:t xml:space="preserve"> </w:t>
      </w:r>
      <w:r w:rsidRPr="008E2505">
        <w:rPr>
          <w:rFonts w:ascii="Century" w:hAnsi="Century" w:cs="Miriam" w:hint="eastAsia"/>
          <w:b/>
          <w:spacing w:val="0"/>
          <w:szCs w:val="24"/>
          <w:rtl/>
        </w:rPr>
        <w:t>הנזק</w:t>
      </w:r>
      <w:r w:rsidRPr="008E2505">
        <w:rPr>
          <w:rFonts w:ascii="Century" w:hAnsi="Century" w:cs="Miriam"/>
          <w:b/>
          <w:spacing w:val="0"/>
          <w:szCs w:val="24"/>
          <w:rtl/>
        </w:rPr>
        <w:t xml:space="preserve"> </w:t>
      </w:r>
      <w:r w:rsidRPr="008E2505">
        <w:rPr>
          <w:rFonts w:ascii="Century" w:hAnsi="Century" w:cs="Miriam" w:hint="eastAsia"/>
          <w:b/>
          <w:spacing w:val="0"/>
          <w:szCs w:val="24"/>
          <w:rtl/>
        </w:rPr>
        <w:t>שנגרם</w:t>
      </w:r>
      <w:r w:rsidRPr="008E2505">
        <w:rPr>
          <w:rFonts w:ascii="Century" w:hAnsi="Century" w:cs="Miriam"/>
          <w:b/>
          <w:spacing w:val="0"/>
          <w:szCs w:val="24"/>
          <w:rtl/>
        </w:rPr>
        <w:t xml:space="preserve"> </w:t>
      </w:r>
      <w:r w:rsidRPr="008E2505">
        <w:rPr>
          <w:rFonts w:ascii="Century" w:hAnsi="Century" w:cs="Miriam" w:hint="eastAsia"/>
          <w:b/>
          <w:spacing w:val="0"/>
          <w:szCs w:val="24"/>
          <w:rtl/>
        </w:rPr>
        <w:t>ממסירת</w:t>
      </w:r>
      <w:r w:rsidRPr="008E2505">
        <w:rPr>
          <w:rFonts w:ascii="Century" w:hAnsi="Century" w:cs="Miriam"/>
          <w:b/>
          <w:spacing w:val="0"/>
          <w:szCs w:val="24"/>
          <w:rtl/>
        </w:rPr>
        <w:t xml:space="preserve"> </w:t>
      </w:r>
      <w:r w:rsidRPr="008E2505">
        <w:rPr>
          <w:rFonts w:ascii="Century" w:hAnsi="Century" w:cs="Miriam" w:hint="eastAsia"/>
          <w:b/>
          <w:spacing w:val="0"/>
          <w:szCs w:val="24"/>
          <w:rtl/>
        </w:rPr>
        <w:t>המידע</w:t>
      </w:r>
      <w:r w:rsidRPr="008E2505">
        <w:rPr>
          <w:rFonts w:ascii="Century" w:hAnsi="Century" w:cs="Miriam"/>
          <w:b/>
          <w:spacing w:val="0"/>
          <w:szCs w:val="24"/>
          <w:rtl/>
        </w:rPr>
        <w:t xml:space="preserve"> </w:t>
      </w:r>
      <w:r>
        <w:rPr>
          <w:rFonts w:ascii="Century" w:hAnsi="Century" w:cs="Miriam" w:hint="cs"/>
          <w:b/>
          <w:spacing w:val="0"/>
          <w:szCs w:val="24"/>
          <w:rtl/>
        </w:rPr>
        <w:t>כ</w:t>
      </w:r>
      <w:r w:rsidRPr="008E2505">
        <w:rPr>
          <w:rFonts w:ascii="Century" w:hAnsi="Century" w:cs="Miriam" w:hint="eastAsia"/>
          <w:b/>
          <w:spacing w:val="0"/>
          <w:szCs w:val="24"/>
          <w:rtl/>
        </w:rPr>
        <w:t>י</w:t>
      </w:r>
      <w:r w:rsidRPr="008E2505">
        <w:rPr>
          <w:rFonts w:ascii="Century" w:hAnsi="Century" w:cs="Miriam"/>
          <w:b/>
          <w:spacing w:val="0"/>
          <w:szCs w:val="24"/>
          <w:rtl/>
        </w:rPr>
        <w:t xml:space="preserve"> </w:t>
      </w:r>
      <w:r w:rsidRPr="008E2505">
        <w:rPr>
          <w:rFonts w:ascii="Century" w:hAnsi="Century" w:cs="Miriam" w:hint="eastAsia"/>
          <w:b/>
          <w:spacing w:val="0"/>
          <w:szCs w:val="24"/>
          <w:rtl/>
        </w:rPr>
        <w:t>המצב</w:t>
      </w:r>
      <w:r w:rsidRPr="008E2505">
        <w:rPr>
          <w:rFonts w:ascii="Century" w:hAnsi="Century" w:cs="Miriam"/>
          <w:b/>
          <w:spacing w:val="0"/>
          <w:szCs w:val="24"/>
          <w:rtl/>
        </w:rPr>
        <w:t xml:space="preserve"> </w:t>
      </w:r>
      <w:r w:rsidRPr="008E2505">
        <w:rPr>
          <w:rFonts w:ascii="Century" w:hAnsi="Century" w:cs="Miriam" w:hint="eastAsia"/>
          <w:b/>
          <w:spacing w:val="0"/>
          <w:szCs w:val="24"/>
          <w:rtl/>
        </w:rPr>
        <w:lastRenderedPageBreak/>
        <w:t>העובדתי</w:t>
      </w:r>
      <w:r w:rsidRPr="008E2505">
        <w:rPr>
          <w:rFonts w:ascii="Century" w:hAnsi="Century" w:cs="Miriam"/>
          <w:b/>
          <w:spacing w:val="0"/>
          <w:szCs w:val="24"/>
          <w:rtl/>
        </w:rPr>
        <w:t xml:space="preserve"> </w:t>
      </w:r>
      <w:r w:rsidRPr="008E2505">
        <w:rPr>
          <w:rFonts w:ascii="Century" w:hAnsi="Century" w:cs="Miriam" w:hint="eastAsia"/>
          <w:b/>
          <w:spacing w:val="0"/>
          <w:szCs w:val="24"/>
          <w:rtl/>
        </w:rPr>
        <w:t>היה</w:t>
      </w:r>
      <w:r w:rsidRPr="008E2505">
        <w:rPr>
          <w:rFonts w:ascii="Century" w:hAnsi="Century" w:cs="Miriam"/>
          <w:b/>
          <w:spacing w:val="0"/>
          <w:szCs w:val="24"/>
          <w:rtl/>
        </w:rPr>
        <w:t xml:space="preserve"> </w:t>
      </w:r>
      <w:r w:rsidRPr="008E2505">
        <w:rPr>
          <w:rFonts w:ascii="Century" w:hAnsi="Century" w:cs="Miriam" w:hint="eastAsia"/>
          <w:b/>
          <w:spacing w:val="0"/>
          <w:szCs w:val="24"/>
          <w:rtl/>
        </w:rPr>
        <w:t>כזה</w:t>
      </w:r>
      <w:r w:rsidRPr="008E2505">
        <w:rPr>
          <w:rFonts w:ascii="Century" w:hAnsi="Century" w:cs="Miriam"/>
          <w:b/>
          <w:spacing w:val="0"/>
          <w:szCs w:val="24"/>
          <w:rtl/>
        </w:rPr>
        <w:t xml:space="preserve"> </w:t>
      </w:r>
      <w:r w:rsidRPr="008E2505">
        <w:rPr>
          <w:rFonts w:ascii="Century" w:hAnsi="Century" w:cs="Miriam" w:hint="eastAsia"/>
          <w:b/>
          <w:spacing w:val="0"/>
          <w:szCs w:val="24"/>
          <w:rtl/>
        </w:rPr>
        <w:t>לפיו</w:t>
      </w:r>
      <w:r w:rsidRPr="008E2505">
        <w:rPr>
          <w:rFonts w:ascii="Century" w:hAnsi="Century" w:cs="Miriam"/>
          <w:b/>
          <w:spacing w:val="0"/>
          <w:szCs w:val="24"/>
          <w:rtl/>
        </w:rPr>
        <w:t xml:space="preserve"> </w:t>
      </w:r>
      <w:r w:rsidRPr="008E2505">
        <w:rPr>
          <w:rFonts w:ascii="Century" w:hAnsi="Century" w:cs="Miriam" w:hint="eastAsia"/>
          <w:b/>
          <w:spacing w:val="0"/>
          <w:szCs w:val="24"/>
          <w:rtl/>
        </w:rPr>
        <w:t>כלל</w:t>
      </w:r>
      <w:r w:rsidRPr="008E2505">
        <w:rPr>
          <w:rFonts w:ascii="Century" w:hAnsi="Century" w:cs="Miriam"/>
          <w:b/>
          <w:spacing w:val="0"/>
          <w:szCs w:val="24"/>
          <w:rtl/>
        </w:rPr>
        <w:t xml:space="preserve"> </w:t>
      </w:r>
      <w:r w:rsidRPr="008E2505">
        <w:rPr>
          <w:rFonts w:ascii="Century" w:hAnsi="Century" w:cs="Miriam" w:hint="eastAsia"/>
          <w:b/>
          <w:spacing w:val="0"/>
          <w:szCs w:val="24"/>
          <w:rtl/>
        </w:rPr>
        <w:t>החשופים</w:t>
      </w:r>
      <w:r w:rsidRPr="008E2505">
        <w:rPr>
          <w:rFonts w:ascii="Century" w:hAnsi="Century" w:cs="Miriam"/>
          <w:b/>
          <w:spacing w:val="0"/>
          <w:szCs w:val="24"/>
          <w:rtl/>
        </w:rPr>
        <w:t xml:space="preserve"> </w:t>
      </w:r>
      <w:r w:rsidRPr="008E2505">
        <w:rPr>
          <w:rFonts w:ascii="Century" w:hAnsi="Century" w:cs="Miriam" w:hint="eastAsia"/>
          <w:b/>
          <w:spacing w:val="0"/>
          <w:szCs w:val="24"/>
          <w:rtl/>
        </w:rPr>
        <w:t>למידע</w:t>
      </w:r>
      <w:r w:rsidRPr="008E2505">
        <w:rPr>
          <w:rFonts w:ascii="Century" w:hAnsi="Century" w:cs="Miriam"/>
          <w:b/>
          <w:spacing w:val="0"/>
          <w:szCs w:val="24"/>
          <w:rtl/>
        </w:rPr>
        <w:t xml:space="preserve"> </w:t>
      </w:r>
      <w:r w:rsidRPr="008E2505">
        <w:rPr>
          <w:rFonts w:ascii="Century" w:hAnsi="Century" w:cs="Miriam" w:hint="eastAsia"/>
          <w:b/>
          <w:spacing w:val="0"/>
          <w:szCs w:val="24"/>
          <w:rtl/>
        </w:rPr>
        <w:t>שפורסם</w:t>
      </w:r>
      <w:r w:rsidRPr="008E2505">
        <w:rPr>
          <w:rFonts w:ascii="Century" w:hAnsi="Century" w:cs="Miriam"/>
          <w:b/>
          <w:spacing w:val="0"/>
          <w:szCs w:val="24"/>
          <w:rtl/>
        </w:rPr>
        <w:t xml:space="preserve"> </w:t>
      </w:r>
      <w:r w:rsidRPr="008E2505">
        <w:rPr>
          <w:rFonts w:ascii="Century" w:hAnsi="Century" w:cs="Miriam" w:hint="eastAsia"/>
          <w:b/>
          <w:spacing w:val="0"/>
          <w:szCs w:val="24"/>
          <w:rtl/>
        </w:rPr>
        <w:t>היו</w:t>
      </w:r>
      <w:r w:rsidRPr="008E2505">
        <w:rPr>
          <w:rFonts w:ascii="Century" w:hAnsi="Century" w:cs="Miriam"/>
          <w:b/>
          <w:spacing w:val="0"/>
          <w:szCs w:val="24"/>
          <w:rtl/>
        </w:rPr>
        <w:t xml:space="preserve"> </w:t>
      </w:r>
      <w:r w:rsidRPr="008E2505">
        <w:rPr>
          <w:rFonts w:ascii="Century" w:hAnsi="Century" w:cs="Miriam" w:hint="eastAsia"/>
          <w:b/>
          <w:spacing w:val="0"/>
          <w:szCs w:val="24"/>
          <w:rtl/>
        </w:rPr>
        <w:t>רק</w:t>
      </w:r>
      <w:r w:rsidRPr="008E2505">
        <w:rPr>
          <w:rFonts w:ascii="Century" w:hAnsi="Century" w:cs="Miriam"/>
          <w:b/>
          <w:spacing w:val="0"/>
          <w:szCs w:val="24"/>
          <w:rtl/>
        </w:rPr>
        <w:t xml:space="preserve"> </w:t>
      </w:r>
      <w:r w:rsidRPr="008E2505">
        <w:rPr>
          <w:rFonts w:ascii="Century" w:hAnsi="Century" w:cs="Miriam" w:hint="eastAsia"/>
          <w:b/>
          <w:spacing w:val="0"/>
          <w:szCs w:val="24"/>
          <w:rtl/>
        </w:rPr>
        <w:t>עובדי</w:t>
      </w:r>
      <w:r w:rsidRPr="008E2505">
        <w:rPr>
          <w:rFonts w:ascii="Century" w:hAnsi="Century" w:cs="Miriam"/>
          <w:b/>
          <w:spacing w:val="0"/>
          <w:szCs w:val="24"/>
          <w:rtl/>
        </w:rPr>
        <w:t xml:space="preserve"> </w:t>
      </w:r>
      <w:r w:rsidRPr="008E2505">
        <w:rPr>
          <w:rFonts w:ascii="Century" w:hAnsi="Century" w:cs="Miriam" w:hint="eastAsia"/>
          <w:b/>
          <w:spacing w:val="0"/>
          <w:szCs w:val="24"/>
          <w:rtl/>
        </w:rPr>
        <w:t>מדינה</w:t>
      </w:r>
      <w:r>
        <w:rPr>
          <w:rFonts w:hint="cs"/>
          <w:rtl/>
        </w:rPr>
        <w:t>". שכן, לשיטתה, "</w:t>
      </w:r>
      <w:r w:rsidRPr="00C90C20">
        <w:rPr>
          <w:rFonts w:ascii="Century" w:hAnsi="Century" w:cs="Miriam" w:hint="eastAsia"/>
          <w:b/>
          <w:spacing w:val="0"/>
          <w:szCs w:val="24"/>
          <w:rtl/>
        </w:rPr>
        <w:t>בנסיבות</w:t>
      </w:r>
      <w:r w:rsidRPr="00C90C20">
        <w:rPr>
          <w:rFonts w:ascii="Century" w:hAnsi="Century" w:cs="Miriam"/>
          <w:b/>
          <w:spacing w:val="0"/>
          <w:szCs w:val="24"/>
          <w:rtl/>
        </w:rPr>
        <w:t xml:space="preserve"> העניין הייחודיות לא נגרמה פגיעה ואין פוטנציאל פגיעה באינטרסים חיוניים כתוצאה מהגילוי הנטען, בעוצמה כזו אשר מצדיקה </w:t>
      </w:r>
      <w:r w:rsidRPr="00C90C20">
        <w:rPr>
          <w:rFonts w:ascii="Century" w:hAnsi="Century" w:cs="Miriam" w:hint="eastAsia"/>
          <w:b/>
          <w:spacing w:val="0"/>
          <w:szCs w:val="24"/>
          <w:rtl/>
        </w:rPr>
        <w:t>בירור</w:t>
      </w:r>
      <w:r w:rsidRPr="00C90C20">
        <w:rPr>
          <w:rFonts w:ascii="Century" w:hAnsi="Century" w:cs="Miriam"/>
          <w:b/>
          <w:spacing w:val="0"/>
          <w:szCs w:val="24"/>
          <w:rtl/>
        </w:rPr>
        <w:t xml:space="preserve"> העניין </w:t>
      </w:r>
      <w:r w:rsidRPr="00C90C20">
        <w:rPr>
          <w:rFonts w:ascii="Century" w:hAnsi="Century" w:cs="Miriam" w:hint="eastAsia"/>
          <w:b/>
          <w:spacing w:val="0"/>
          <w:szCs w:val="24"/>
          <w:rtl/>
        </w:rPr>
        <w:t>בכלי</w:t>
      </w:r>
      <w:r w:rsidRPr="00C90C20">
        <w:rPr>
          <w:rFonts w:ascii="Century" w:hAnsi="Century" w:cs="Miriam"/>
          <w:b/>
          <w:spacing w:val="0"/>
          <w:szCs w:val="24"/>
          <w:rtl/>
        </w:rPr>
        <w:t xml:space="preserve"> </w:t>
      </w:r>
      <w:r w:rsidRPr="00C90C20">
        <w:rPr>
          <w:rFonts w:ascii="Century" w:hAnsi="Century" w:cs="Miriam" w:hint="eastAsia"/>
          <w:b/>
          <w:spacing w:val="0"/>
          <w:szCs w:val="24"/>
          <w:rtl/>
        </w:rPr>
        <w:t>אכיפה</w:t>
      </w:r>
      <w:r w:rsidRPr="00C90C20">
        <w:rPr>
          <w:rFonts w:ascii="Century" w:hAnsi="Century" w:cs="Miriam"/>
          <w:b/>
          <w:spacing w:val="0"/>
          <w:szCs w:val="24"/>
          <w:rtl/>
        </w:rPr>
        <w:t xml:space="preserve"> </w:t>
      </w:r>
      <w:r w:rsidRPr="00C90C20">
        <w:rPr>
          <w:rFonts w:ascii="Century" w:hAnsi="Century" w:cs="Miriam" w:hint="eastAsia"/>
          <w:b/>
          <w:spacing w:val="0"/>
          <w:szCs w:val="24"/>
          <w:rtl/>
        </w:rPr>
        <w:t>פלילית</w:t>
      </w:r>
      <w:r>
        <w:rPr>
          <w:rFonts w:hint="cs"/>
          <w:rtl/>
        </w:rPr>
        <w:t>". עמדה זו מוקשית בעיניי.</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 xml:space="preserve">לטעמי, בצדק טען העותר, כי בית משפט זה כבר השמיע עמדה ערכית ברורה בדבר הפסול הכרוך בתופעת ההדלפות מחדרי החקירה בכל הנוגע לחקירותיהם של אישי ציבור. ובלשון חברי, השופט </w:t>
      </w:r>
      <w:r w:rsidRPr="00FC349F">
        <w:rPr>
          <w:rFonts w:ascii="Century" w:hAnsi="Century" w:cs="Miriam" w:hint="eastAsia"/>
          <w:b/>
          <w:spacing w:val="0"/>
          <w:szCs w:val="24"/>
          <w:rtl/>
        </w:rPr>
        <w:t>סולברג</w:t>
      </w:r>
      <w:r>
        <w:rPr>
          <w:rFonts w:hint="cs"/>
          <w:rtl/>
        </w:rPr>
        <w:t xml:space="preserve">, בעניין </w:t>
      </w:r>
      <w:proofErr w:type="spellStart"/>
      <w:r w:rsidRPr="00CA1301">
        <w:rPr>
          <w:rFonts w:ascii="Century" w:hAnsi="Century" w:cs="Miriam" w:hint="cs"/>
          <w:b/>
          <w:spacing w:val="0"/>
          <w:szCs w:val="24"/>
          <w:rtl/>
        </w:rPr>
        <w:t>אלוביץ</w:t>
      </w:r>
      <w:proofErr w:type="spellEnd"/>
      <w:r w:rsidRPr="00CA1301">
        <w:rPr>
          <w:rFonts w:ascii="Century" w:hAnsi="Century" w:cs="Miriam" w:hint="cs"/>
          <w:b/>
          <w:spacing w:val="0"/>
          <w:szCs w:val="24"/>
          <w:rtl/>
        </w:rPr>
        <w:t>'</w:t>
      </w:r>
      <w:r>
        <w:rPr>
          <w:rFonts w:hint="cs"/>
          <w:rtl/>
        </w:rPr>
        <w:t>:</w:t>
      </w:r>
    </w:p>
    <w:p w:rsidR="00DB6151" w:rsidRDefault="00DB6151" w:rsidP="00DB6151">
      <w:pPr>
        <w:pStyle w:val="Ruller5"/>
        <w:rPr>
          <w:rtl/>
        </w:rPr>
      </w:pPr>
      <w:r>
        <w:rPr>
          <w:rFonts w:hint="cs"/>
          <w:rtl/>
        </w:rPr>
        <w:t>"</w:t>
      </w:r>
      <w:r>
        <w:rPr>
          <w:rtl/>
        </w:rPr>
        <w:t xml:space="preserve">מחד גיסא, רואה היועץ המשפטי לממשלה </w:t>
      </w:r>
      <w:r>
        <w:rPr>
          <w:rFonts w:ascii="Century" w:hAnsi="Century" w:cs="Miriam"/>
          <w:b/>
          <w:spacing w:val="0"/>
          <w:szCs w:val="24"/>
          <w:rtl/>
        </w:rPr>
        <w:t>"בחומרה רבה"</w:t>
      </w:r>
      <w:r>
        <w:rPr>
          <w:rtl/>
        </w:rPr>
        <w:t xml:space="preserve">, כלשונו, מסירת מידע האסור בגילוי; אך מאידך גיסא, חקירה איִן, אֵין מי שנותן את הדין, ורעה חולה זו של 'הדלפות' פּוֹשָׂה במקומותינו. בנסיבות העניין שעל הפרק, דעתי כדעתו של חברי, השופט </w:t>
      </w:r>
      <w:r>
        <w:rPr>
          <w:rFonts w:ascii="Century" w:hAnsi="Century" w:cs="Miriam"/>
          <w:b/>
          <w:spacing w:val="0"/>
          <w:szCs w:val="24"/>
          <w:rtl/>
        </w:rPr>
        <w:t>ג' קרא</w:t>
      </w:r>
      <w:r>
        <w:rPr>
          <w:rtl/>
        </w:rPr>
        <w:t xml:space="preserve">, על סמך נימוקיו, כי דינה של העתירה להידחות. חקירת אילן ישועה, שהוא אינו עובד מדינה, והוא, לדעת העותרים, 'החשוד </w:t>
      </w:r>
      <w:proofErr w:type="spellStart"/>
      <w:r>
        <w:rPr>
          <w:rtl/>
        </w:rPr>
        <w:t>המיידי</w:t>
      </w:r>
      <w:proofErr w:type="spellEnd"/>
      <w:r>
        <w:rPr>
          <w:rtl/>
        </w:rPr>
        <w:t xml:space="preserve">', לא תוכל כנראה לבסס אישום בפלילים. ברם, במבט צופה פני עתיד, שׂוּמָה להתריע, שלא תהא אותה </w:t>
      </w:r>
      <w:r>
        <w:rPr>
          <w:rFonts w:ascii="Century" w:hAnsi="Century" w:cs="Miriam"/>
          <w:b/>
          <w:spacing w:val="0"/>
          <w:szCs w:val="24"/>
          <w:rtl/>
        </w:rPr>
        <w:t>"חומרה רבה"</w:t>
      </w:r>
      <w:r>
        <w:rPr>
          <w:rtl/>
        </w:rPr>
        <w:t xml:space="preserve"> </w:t>
      </w:r>
      <w:proofErr w:type="spellStart"/>
      <w:r>
        <w:rPr>
          <w:rtl/>
        </w:rPr>
        <w:t>שב</w:t>
      </w:r>
      <w:r>
        <w:rPr>
          <w:rFonts w:ascii="Century" w:hAnsi="Century" w:cs="Miriam"/>
          <w:b/>
          <w:spacing w:val="0"/>
          <w:szCs w:val="24"/>
          <w:rtl/>
        </w:rPr>
        <w:t>"מסירת</w:t>
      </w:r>
      <w:proofErr w:type="spellEnd"/>
      <w:r>
        <w:rPr>
          <w:rFonts w:ascii="Century" w:hAnsi="Century" w:cs="Miriam"/>
          <w:b/>
          <w:spacing w:val="0"/>
          <w:szCs w:val="24"/>
          <w:rtl/>
        </w:rPr>
        <w:t xml:space="preserve"> מידע האסור בגילוי"</w:t>
      </w:r>
      <w:r>
        <w:rPr>
          <w:rtl/>
        </w:rPr>
        <w:t xml:space="preserve">, </w:t>
      </w:r>
      <w:proofErr w:type="spellStart"/>
      <w:r>
        <w:rPr>
          <w:rtl/>
        </w:rPr>
        <w:t>שהכּל</w:t>
      </w:r>
      <w:proofErr w:type="spellEnd"/>
      <w:r>
        <w:rPr>
          <w:rtl/>
        </w:rPr>
        <w:t xml:space="preserve"> תמימי-דעים לגביה, מס-שפתיים בלבד:</w:t>
      </w:r>
      <w:r>
        <w:rPr>
          <w:rFonts w:hint="cs"/>
          <w:rtl/>
        </w:rPr>
        <w:t xml:space="preserve"> </w:t>
      </w:r>
      <w:r>
        <w:rPr>
          <w:rtl/>
        </w:rPr>
        <w:t>צריך לעשות מעשה</w:t>
      </w:r>
      <w:r>
        <w:rPr>
          <w:rFonts w:hint="cs"/>
          <w:rtl/>
        </w:rPr>
        <w:t xml:space="preserve">." </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 xml:space="preserve">וכפי שציינה הנשיאה, </w:t>
      </w:r>
      <w:r w:rsidRPr="00CA1301">
        <w:rPr>
          <w:rFonts w:ascii="Century" w:hAnsi="Century" w:cs="Miriam" w:hint="cs"/>
          <w:b/>
          <w:spacing w:val="0"/>
          <w:szCs w:val="24"/>
          <w:rtl/>
        </w:rPr>
        <w:t>א' חיות</w:t>
      </w:r>
      <w:r>
        <w:rPr>
          <w:rFonts w:hint="cs"/>
          <w:rtl/>
        </w:rPr>
        <w:t>, באותה הפרשה:</w:t>
      </w:r>
    </w:p>
    <w:p w:rsidR="00DB6151" w:rsidRDefault="00DB6151" w:rsidP="00DB6151">
      <w:pPr>
        <w:pStyle w:val="Ruller5"/>
        <w:rPr>
          <w:rtl/>
        </w:rPr>
      </w:pPr>
      <w:r>
        <w:rPr>
          <w:rFonts w:hint="cs"/>
          <w:rtl/>
        </w:rPr>
        <w:t>"לא אחת פסקנו כי התופעה של הדלפת חומרי חקירה על ידי עובדי ציבור היא 'רעה חולה' וכי על "רשויות החקירה והתביעה לעשות מאמץ שהדלפות מסוג זה לא יישנו [...]"</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היועצת טוענת כי בענייננו שורה של טעמים מוליכים למסקנה כי הדלפת חומרי החקירה, אפילו אם היא נעשתה על-ידי עובד ציבור, אינה מצדיקה שימוש בכלים פליליים. כך למשל, נטען כי הפרסום בוצע לאחר החלטת היועץ המשפטי לממשלה דאז להפסיק את החקירה, לאחר שהוסר צו איסור הפרסום, ולאחר שנמסרה על כך הודעה לבית המשפט ולסניגורים והוחלט להעביר את חומר החקירה לעיונם. לשיטת היועצת, מכלול האמור מוביל למסקנה כי לא נגרמה פגיעה "באינטרסים חיוניים" במידה המצדיקה שימוש בכלים פליליים.</w:t>
      </w:r>
    </w:p>
    <w:p w:rsidR="00DB6151" w:rsidRDefault="00DB6151" w:rsidP="00DB6151">
      <w:pPr>
        <w:pStyle w:val="Ruller41"/>
        <w:overflowPunct/>
        <w:autoSpaceDE/>
        <w:autoSpaceDN/>
        <w:adjustRightInd/>
        <w:spacing w:before="240" w:after="240"/>
        <w:textAlignment w:val="auto"/>
      </w:pPr>
      <w:r>
        <w:rPr>
          <w:rtl/>
        </w:rPr>
        <w:tab/>
      </w:r>
      <w:r>
        <w:rPr>
          <w:rFonts w:hint="cs"/>
          <w:rtl/>
        </w:rPr>
        <w:t>אולם, הנזק שנגרם כתוצאה מתופעת ההדלפות מחדרי החקירות אינו מסתכם בנזק '</w:t>
      </w:r>
      <w:proofErr w:type="spellStart"/>
      <w:r>
        <w:rPr>
          <w:rFonts w:hint="cs"/>
          <w:rtl/>
        </w:rPr>
        <w:t>התוצאתי</w:t>
      </w:r>
      <w:proofErr w:type="spellEnd"/>
      <w:r>
        <w:rPr>
          <w:rFonts w:hint="cs"/>
          <w:rtl/>
        </w:rPr>
        <w:t xml:space="preserve">' שנגרם לחשוד או לנאשם במקרה הקונקרטי, כי אם בנזק שהדבר גורם לאמון הציבור ברשויות האכיפה, ולתפיסה של האזרחים את הרשויות הללו, ככאלו שפועלות על בסיס שיקולים ענייניים בלבד. כפי שקבע השופט </w:t>
      </w:r>
      <w:r w:rsidRPr="00F3520E">
        <w:rPr>
          <w:rFonts w:ascii="Century" w:hAnsi="Century" w:cs="Miriam" w:hint="cs"/>
          <w:b/>
          <w:spacing w:val="0"/>
          <w:szCs w:val="24"/>
          <w:rtl/>
        </w:rPr>
        <w:t>א' רובינשטיין</w:t>
      </w:r>
      <w:r>
        <w:rPr>
          <w:rFonts w:hint="cs"/>
          <w:rtl/>
        </w:rPr>
        <w:t xml:space="preserve"> בעניין </w:t>
      </w:r>
      <w:r w:rsidRPr="00F3520E">
        <w:rPr>
          <w:rFonts w:ascii="Century" w:hAnsi="Century" w:cs="Miriam" w:hint="cs"/>
          <w:b/>
          <w:spacing w:val="0"/>
          <w:szCs w:val="24"/>
          <w:rtl/>
        </w:rPr>
        <w:t>ליברמן</w:t>
      </w:r>
      <w:r>
        <w:rPr>
          <w:rFonts w:hint="cs"/>
          <w:rtl/>
        </w:rPr>
        <w:t>, פסקה כ"ג:</w:t>
      </w:r>
    </w:p>
    <w:p w:rsidR="00DB6151" w:rsidRDefault="00DB6151" w:rsidP="00DB6151">
      <w:pPr>
        <w:pStyle w:val="Ruller5"/>
        <w:rPr>
          <w:rtl/>
        </w:rPr>
      </w:pPr>
      <w:r>
        <w:rPr>
          <w:rFonts w:hint="cs"/>
          <w:rtl/>
        </w:rPr>
        <w:lastRenderedPageBreak/>
        <w:t>"</w:t>
      </w:r>
      <w:r w:rsidRPr="00531C91">
        <w:rPr>
          <w:rFonts w:hint="cs"/>
          <w:rtl/>
        </w:rPr>
        <w:t xml:space="preserve">התופעה של הדלפה מחדרי החקירות, בעיקר בחקירות רגישות ומתוקשרות, </w:t>
      </w:r>
      <w:r>
        <w:rPr>
          <w:rFonts w:hint="cs"/>
          <w:rtl/>
        </w:rPr>
        <w:t xml:space="preserve">היא רעה חולה. </w:t>
      </w:r>
      <w:r w:rsidRPr="00531C91">
        <w:rPr>
          <w:rFonts w:hint="cs"/>
          <w:rtl/>
        </w:rPr>
        <w:t xml:space="preserve">בכך יש לפגוע לא רק בזכות החשוד להליך הוגן, אלא גם באינטרס הציבורי בניהול חקירה תקינה שתניב תוצאות, וכן באמון הציבור ברשויות האכיפה והתביעה, </w:t>
      </w:r>
      <w:r>
        <w:rPr>
          <w:rFonts w:hint="cs"/>
          <w:rtl/>
        </w:rPr>
        <w:t>ש</w:t>
      </w:r>
      <w:r w:rsidRPr="00531C91">
        <w:rPr>
          <w:rFonts w:hint="cs"/>
          <w:rtl/>
        </w:rPr>
        <w:t>החקירה היא אובייקטיבית ונטולת משוא פנים, וכי ההליך נקי וחותר לחקר האמת. המחיר של התנהלות כגון דא הוא כבד, והניזוק העיקרי הוא הציבור כולו. לא</w:t>
      </w:r>
      <w:r>
        <w:rPr>
          <w:rFonts w:hint="cs"/>
          <w:rtl/>
        </w:rPr>
        <w:t>ו</w:t>
      </w:r>
      <w:r w:rsidRPr="00531C91">
        <w:rPr>
          <w:rFonts w:hint="cs"/>
          <w:rtl/>
        </w:rPr>
        <w:t xml:space="preserve"> מילתא זוטרתא היא. על רשויות החקירה והתביעה לעשות מאמץ שהדלפות מסוג זה לא יישנו, תוך שיהא נהיר</w:t>
      </w:r>
      <w:r>
        <w:rPr>
          <w:rFonts w:hint="cs"/>
          <w:rtl/>
        </w:rPr>
        <w:t xml:space="preserve"> למדליפים</w:t>
      </w:r>
      <w:r w:rsidRPr="00531C91">
        <w:rPr>
          <w:rFonts w:hint="cs"/>
          <w:rtl/>
        </w:rPr>
        <w:t xml:space="preserve"> כי </w:t>
      </w:r>
      <w:r>
        <w:rPr>
          <w:rFonts w:hint="cs"/>
          <w:rtl/>
        </w:rPr>
        <w:t xml:space="preserve">לא תהא פניה </w:t>
      </w:r>
      <w:r w:rsidRPr="00531C91">
        <w:rPr>
          <w:rFonts w:hint="cs"/>
          <w:rtl/>
        </w:rPr>
        <w:t>לסדר היום</w:t>
      </w:r>
      <w:r>
        <w:rPr>
          <w:rFonts w:hint="cs"/>
          <w:rtl/>
        </w:rPr>
        <w:t xml:space="preserve"> כאילו לא אירע דבר</w:t>
      </w:r>
      <w:r w:rsidRPr="00531C91">
        <w:rPr>
          <w:rFonts w:hint="cs"/>
          <w:rtl/>
        </w:rPr>
        <w:t xml:space="preserve">, וכי המדליף עלול לשלם מחיר אישי שכן </w:t>
      </w:r>
      <w:r>
        <w:rPr>
          <w:rFonts w:hint="cs"/>
          <w:rtl/>
        </w:rPr>
        <w:t>'</w:t>
      </w:r>
      <w:r w:rsidRPr="00531C91">
        <w:rPr>
          <w:rtl/>
        </w:rPr>
        <w:t>תפקידם של אנשי המשטרה אינו מחסן אותם מפני חקירה, אלא דווקא מציב בפניהם סטנדרטים גבוהים במיוחד של חובות אמון, הגינות והקפדה על קיום החוק</w:t>
      </w:r>
      <w:r>
        <w:rPr>
          <w:rFonts w:hint="cs"/>
          <w:rtl/>
        </w:rPr>
        <w:t>.'"</w:t>
      </w:r>
    </w:p>
    <w:p w:rsidR="00DB6151" w:rsidRDefault="00DB6151" w:rsidP="00DB6151">
      <w:pPr>
        <w:pStyle w:val="Ruller41"/>
        <w:overflowPunct/>
        <w:autoSpaceDE/>
        <w:autoSpaceDN/>
        <w:adjustRightInd/>
        <w:spacing w:before="240" w:after="240"/>
        <w:textAlignment w:val="auto"/>
        <w:rPr>
          <w:rtl/>
        </w:rPr>
      </w:pPr>
      <w:r>
        <w:rPr>
          <w:rtl/>
        </w:rPr>
        <w:tab/>
      </w:r>
      <w:r>
        <w:rPr>
          <w:rFonts w:hint="cs"/>
          <w:rtl/>
        </w:rPr>
        <w:t xml:space="preserve">וכפי שהוסיפה השופטת </w:t>
      </w:r>
      <w:r w:rsidRPr="00CA1301">
        <w:rPr>
          <w:rFonts w:ascii="Century" w:hAnsi="Century" w:cs="Miriam" w:hint="cs"/>
          <w:b/>
          <w:spacing w:val="0"/>
          <w:szCs w:val="24"/>
          <w:rtl/>
        </w:rPr>
        <w:t>א' חיות</w:t>
      </w:r>
      <w:r w:rsidRPr="00CA1301">
        <w:rPr>
          <w:rFonts w:hint="cs"/>
          <w:rtl/>
        </w:rPr>
        <w:t xml:space="preserve"> </w:t>
      </w:r>
      <w:r>
        <w:rPr>
          <w:rFonts w:hint="cs"/>
          <w:rtl/>
        </w:rPr>
        <w:t>באותו עניין:</w:t>
      </w:r>
    </w:p>
    <w:p w:rsidR="00DB6151" w:rsidRDefault="00DB6151" w:rsidP="00DB6151">
      <w:pPr>
        <w:pStyle w:val="Ruller5"/>
        <w:rPr>
          <w:rtl/>
        </w:rPr>
      </w:pPr>
      <w:r>
        <w:rPr>
          <w:rFonts w:hint="cs"/>
          <w:rtl/>
        </w:rPr>
        <w:t xml:space="preserve">"הדלפת פרטים מתוך חדרי החקירות או ממשרדי הפרקליטות בעת </w:t>
      </w:r>
      <w:proofErr w:type="spellStart"/>
      <w:r>
        <w:rPr>
          <w:rFonts w:hint="cs"/>
          <w:rtl/>
        </w:rPr>
        <w:t>הימצא</w:t>
      </w:r>
      <w:proofErr w:type="spellEnd"/>
      <w:r>
        <w:rPr>
          <w:rFonts w:hint="cs"/>
          <w:rtl/>
        </w:rPr>
        <w:t xml:space="preserve"> החקירה בעיצומה, היא תופעה שפגיעתה רעה הן בהיבט של זכויות החשוד והן בהיבט הנוגע לאימון הציבור ברשות ובפעולותיה."</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 xml:space="preserve">הנה, הדלפה של מידע מתוך הליך פלילי, בפרט של איש ציבור, לא כל שכן של מי שכיהן ומכהן כראש הממשלה, כרוכה, מעצם טיבה וטבעה, בפגיעה שאין להתעלם ממנה בשורה של אינטרסים, אך בראש ובראשונה </w:t>
      </w:r>
      <w:r>
        <w:rPr>
          <w:rtl/>
        </w:rPr>
        <w:t>–</w:t>
      </w:r>
      <w:r>
        <w:rPr>
          <w:rFonts w:hint="cs"/>
          <w:rtl/>
        </w:rPr>
        <w:t xml:space="preserve"> באמון הציבור, שאין צורך להכביר במילים על אודות חשיבותו. לנזקים מסוג זה נתכוון בית המשפט בשורה של פסקי דין שבהם שב ושנה כי מדובר ברעה חולה ובנגע רע שאותו יש לבער. לא זו אף זו, אין לשכוח כי אף בהנחיית היועץ עצמה, נמנו שיקולים נוספים ובכללם "</w:t>
      </w:r>
      <w:r w:rsidRPr="00472291">
        <w:rPr>
          <w:rFonts w:ascii="Century" w:hAnsi="Century" w:cs="Miriam" w:hint="eastAsia"/>
          <w:b/>
          <w:spacing w:val="0"/>
          <w:szCs w:val="24"/>
          <w:rtl/>
        </w:rPr>
        <w:t>הפגיעה</w:t>
      </w:r>
      <w:r w:rsidRPr="00472291">
        <w:rPr>
          <w:rFonts w:ascii="Century" w:hAnsi="Century" w:cs="Miriam"/>
          <w:b/>
          <w:spacing w:val="0"/>
          <w:szCs w:val="24"/>
          <w:rtl/>
        </w:rPr>
        <w:t xml:space="preserve"> באמון הציבור  </w:t>
      </w:r>
      <w:r w:rsidRPr="00472291">
        <w:rPr>
          <w:rFonts w:ascii="Century" w:hAnsi="Century" w:cs="Miriam" w:hint="eastAsia"/>
          <w:b/>
          <w:spacing w:val="0"/>
          <w:szCs w:val="24"/>
          <w:rtl/>
        </w:rPr>
        <w:t>במערכת</w:t>
      </w:r>
      <w:r w:rsidRPr="00472291">
        <w:rPr>
          <w:rFonts w:ascii="Century" w:hAnsi="Century" w:cs="Miriam"/>
          <w:b/>
          <w:spacing w:val="0"/>
          <w:szCs w:val="24"/>
          <w:rtl/>
        </w:rPr>
        <w:t xml:space="preserve"> </w:t>
      </w:r>
      <w:r w:rsidRPr="00472291">
        <w:rPr>
          <w:rFonts w:ascii="Century" w:hAnsi="Century" w:cs="Miriam" w:hint="eastAsia"/>
          <w:b/>
          <w:spacing w:val="0"/>
          <w:szCs w:val="24"/>
          <w:rtl/>
        </w:rPr>
        <w:t>סדרי</w:t>
      </w:r>
      <w:r w:rsidRPr="00472291">
        <w:rPr>
          <w:rFonts w:ascii="Century" w:hAnsi="Century" w:cs="Miriam"/>
          <w:b/>
          <w:spacing w:val="0"/>
          <w:szCs w:val="24"/>
          <w:rtl/>
        </w:rPr>
        <w:t xml:space="preserve"> </w:t>
      </w:r>
      <w:r w:rsidRPr="00472291">
        <w:rPr>
          <w:rFonts w:ascii="Century" w:hAnsi="Century" w:cs="Miriam" w:hint="eastAsia"/>
          <w:b/>
          <w:spacing w:val="0"/>
          <w:szCs w:val="24"/>
          <w:rtl/>
        </w:rPr>
        <w:t>השלטון</w:t>
      </w:r>
      <w:r w:rsidRPr="00472291">
        <w:rPr>
          <w:rFonts w:ascii="Century" w:hAnsi="Century" w:cs="Miriam"/>
          <w:b/>
          <w:spacing w:val="0"/>
          <w:szCs w:val="24"/>
          <w:rtl/>
        </w:rPr>
        <w:t xml:space="preserve"> </w:t>
      </w:r>
      <w:r w:rsidRPr="00472291">
        <w:rPr>
          <w:rFonts w:ascii="Century" w:hAnsi="Century" w:cs="Miriam" w:hint="eastAsia"/>
          <w:b/>
          <w:spacing w:val="0"/>
          <w:szCs w:val="24"/>
          <w:rtl/>
        </w:rPr>
        <w:t>והמשפט</w:t>
      </w:r>
      <w:r>
        <w:rPr>
          <w:rFonts w:hint="cs"/>
          <w:rtl/>
        </w:rPr>
        <w:t>", מהות הפורום ממנו נמסר המידע, מיהות מוסר המידע ושיטתיות ההפרה (להרחבה, ראו סעיפים 2 ו-34 להנחיית היועץ).</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ואכן, לא מן הנמנע כי אילו השיקול בדבר הפגיעה באינטרסים חיוניים היה ניצב לבדו בבסיס ההחלטה, היה מקום לשקול להתערב בה, תוך הבהרה כי הנזקים הנגרמים מהדלפות כבענייננו הם נזקים חמורים. זאת, גם אם תוצאת ההדלפה, ביחס לנאשם כזה או אחר, אינה חמורה, ולבטח שלא מדובר בנזקים שאינם מצדיקים בירור באמצעות כלים פליליים (וראו, למשל, את ההחלטה בבג"ץ 2511/08 </w:t>
      </w:r>
      <w:r w:rsidRPr="00AC74EE">
        <w:rPr>
          <w:rFonts w:ascii="Century" w:hAnsi="Century" w:cs="Miriam" w:hint="cs"/>
          <w:b/>
          <w:spacing w:val="0"/>
          <w:szCs w:val="24"/>
          <w:rtl/>
        </w:rPr>
        <w:t>ליברמן נ' פרקליט המדינה</w:t>
      </w:r>
      <w:r>
        <w:rPr>
          <w:rFonts w:hint="cs"/>
          <w:rtl/>
        </w:rPr>
        <w:t xml:space="preserve"> (17.11.2008)). </w:t>
      </w:r>
    </w:p>
    <w:p w:rsidR="00DB6151" w:rsidRPr="00F3520E" w:rsidRDefault="00DB6151" w:rsidP="00DB6151">
      <w:pPr>
        <w:pStyle w:val="Ruller41"/>
        <w:numPr>
          <w:ilvl w:val="0"/>
          <w:numId w:val="13"/>
        </w:numPr>
        <w:overflowPunct/>
        <w:autoSpaceDE/>
        <w:autoSpaceDN/>
        <w:adjustRightInd/>
        <w:spacing w:before="240" w:after="240"/>
        <w:ind w:left="0" w:firstLine="0"/>
        <w:textAlignment w:val="auto"/>
      </w:pPr>
      <w:r w:rsidRPr="003C0A49">
        <w:rPr>
          <w:rFonts w:hint="cs"/>
          <w:rtl/>
        </w:rPr>
        <w:t>ב</w:t>
      </w:r>
      <w:r>
        <w:rPr>
          <w:rFonts w:hint="cs"/>
          <w:rtl/>
        </w:rPr>
        <w:t xml:space="preserve">צד האמור, </w:t>
      </w:r>
      <w:r w:rsidRPr="003C0A49">
        <w:rPr>
          <w:rFonts w:hint="cs"/>
          <w:rtl/>
        </w:rPr>
        <w:t>החלטת היועצת לא נטועה אך בשאלת הפגיעה באינטרסים חיוניים</w:t>
      </w:r>
      <w:r>
        <w:rPr>
          <w:rFonts w:hint="cs"/>
          <w:rtl/>
        </w:rPr>
        <w:t xml:space="preserve">; </w:t>
      </w:r>
      <w:r w:rsidRPr="001F29CB">
        <w:rPr>
          <w:rFonts w:hint="cs"/>
          <w:rtl/>
        </w:rPr>
        <w:t xml:space="preserve">בנסיבות העניין נבחנה לעומקה גם שאלת תוחלת החקירה והשפעותיה. </w:t>
      </w:r>
      <w:r w:rsidRPr="00F3520E">
        <w:rPr>
          <w:rFonts w:hint="eastAsia"/>
          <w:rtl/>
        </w:rPr>
        <w:t>לסוגיה</w:t>
      </w:r>
      <w:r w:rsidRPr="00F3520E">
        <w:rPr>
          <w:rtl/>
        </w:rPr>
        <w:t xml:space="preserve"> </w:t>
      </w:r>
      <w:r w:rsidRPr="00F3520E">
        <w:rPr>
          <w:rFonts w:hint="eastAsia"/>
          <w:rtl/>
        </w:rPr>
        <w:t>זו</w:t>
      </w:r>
      <w:r w:rsidRPr="00F3520E">
        <w:rPr>
          <w:rtl/>
        </w:rPr>
        <w:t xml:space="preserve"> </w:t>
      </w:r>
      <w:r w:rsidRPr="00F3520E">
        <w:rPr>
          <w:rFonts w:hint="eastAsia"/>
          <w:rtl/>
        </w:rPr>
        <w:t>אפנה</w:t>
      </w:r>
      <w:r w:rsidRPr="00F3520E">
        <w:rPr>
          <w:rtl/>
        </w:rPr>
        <w:t xml:space="preserve"> </w:t>
      </w:r>
      <w:r w:rsidRPr="00F3520E">
        <w:rPr>
          <w:rFonts w:hint="eastAsia"/>
          <w:rtl/>
        </w:rPr>
        <w:t>כעת</w:t>
      </w:r>
      <w:r w:rsidRPr="00F3520E">
        <w:rPr>
          <w:rtl/>
        </w:rPr>
        <w:t>.</w:t>
      </w:r>
    </w:p>
    <w:p w:rsidR="00DB6151" w:rsidRDefault="00DB6151" w:rsidP="00DB6151">
      <w:pPr>
        <w:pStyle w:val="Ruller41"/>
        <w:overflowPunct/>
        <w:autoSpaceDE/>
        <w:autoSpaceDN/>
        <w:adjustRightInd/>
        <w:spacing w:before="240" w:after="240"/>
        <w:textAlignment w:val="auto"/>
      </w:pPr>
      <w:r>
        <w:rPr>
          <w:rFonts w:ascii="Century" w:hAnsi="Century" w:cs="Miriam" w:hint="cs"/>
          <w:b/>
          <w:spacing w:val="0"/>
          <w:szCs w:val="24"/>
          <w:rtl/>
        </w:rPr>
        <w:lastRenderedPageBreak/>
        <w:t>ג.2.ב</w:t>
      </w:r>
      <w:r w:rsidRPr="00C90C20">
        <w:rPr>
          <w:rFonts w:ascii="Century" w:hAnsi="Century" w:cs="Miriam"/>
          <w:b/>
          <w:spacing w:val="0"/>
          <w:szCs w:val="24"/>
          <w:rtl/>
        </w:rPr>
        <w:t xml:space="preserve">. </w:t>
      </w:r>
      <w:r>
        <w:rPr>
          <w:rFonts w:ascii="Century" w:hAnsi="Century" w:cs="Miriam" w:hint="cs"/>
          <w:b/>
          <w:spacing w:val="0"/>
          <w:szCs w:val="24"/>
          <w:rtl/>
        </w:rPr>
        <w:t>תוחלת החקירה</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 xml:space="preserve">כאמור לעיל, החלטת היועצת התקבלה בסופו של הליך סדור, מקצועי ומקיף, לאחר שהמקרה נבחן על-ידי בכירי מערכת אכיפת החוק. בהחלטה זו צוין כי בהתחשב במכלול השיקולים ונסיבות העניין הנדון </w:t>
      </w:r>
      <w:r>
        <w:rPr>
          <w:rtl/>
        </w:rPr>
        <w:t>–</w:t>
      </w:r>
      <w:r>
        <w:rPr>
          <w:rFonts w:hint="cs"/>
          <w:rtl/>
        </w:rPr>
        <w:t xml:space="preserve"> לרבות חלוף הזמן ומספר האנשים שהיו חשופים לחומר החקירה, בארץ ובחו"ל, מקצתם אינם עובדי ציבור </w:t>
      </w:r>
      <w:r>
        <w:rPr>
          <w:rtl/>
        </w:rPr>
        <w:t>–</w:t>
      </w:r>
      <w:r>
        <w:rPr>
          <w:rFonts w:hint="cs"/>
          <w:rtl/>
        </w:rPr>
        <w:t xml:space="preserve"> תוחלת החקירה נמוכה מאוד. לנוכח האמור, עמדת היועצת היא כי חקירה פלילית אינה צפויה להוביל לגילוי מי שהדליף את המידע האסור בגילוי. את מסקנתה מבססת היועצת על סקירה של מכלול הפעולות שבהן ניתן לנקוט בשלב זה על מנת להביא לגילוי האמת, בציינה את הקשיים הצפויים להתעורר מביצוע כל פעולת חקירה. כך למשל, צוין כי טענות העותר מתעלמות מהאפשרויות הטכנולוגיות הקיימות כיום להעביר מידע באופן שיקשה על איתורו, ובוודאי שכך לנוכח חלוף הזמן מעת ביצוע ההדלפה.</w:t>
      </w:r>
    </w:p>
    <w:p w:rsidR="00DB6151" w:rsidRPr="002B3EFC"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כידוע וכפי שהוצג בהרחבה לעיל, הלכה פסוקה </w:t>
      </w:r>
      <w:r w:rsidRPr="002B3EFC">
        <w:rPr>
          <w:rFonts w:hint="cs"/>
          <w:rtl/>
        </w:rPr>
        <w:t>היא</w:t>
      </w:r>
      <w:r>
        <w:rPr>
          <w:rFonts w:hint="cs"/>
          <w:rtl/>
        </w:rPr>
        <w:t xml:space="preserve"> כי שיקול הדעת של רשויות אכיפת החוק בתחום הפלילי ובפרט </w:t>
      </w:r>
      <w:r w:rsidRPr="00D640D0">
        <w:rPr>
          <w:rFonts w:hint="cs"/>
          <w:rtl/>
        </w:rPr>
        <w:t>שיקול</w:t>
      </w:r>
      <w:r>
        <w:rPr>
          <w:rFonts w:hint="cs"/>
          <w:rtl/>
        </w:rPr>
        <w:t xml:space="preserve"> הדעת של העומדת בראשן </w:t>
      </w:r>
      <w:r>
        <w:rPr>
          <w:rtl/>
        </w:rPr>
        <w:t>–</w:t>
      </w:r>
      <w:r>
        <w:rPr>
          <w:rFonts w:hint="cs"/>
          <w:rtl/>
        </w:rPr>
        <w:t xml:space="preserve"> הוא רחב מאוד; ובהתאם מידת ההתערבות השיפוטית בשיקול דעת זה </w:t>
      </w:r>
      <w:r w:rsidRPr="005537CF">
        <w:rPr>
          <w:rFonts w:hint="cs"/>
          <w:rtl/>
        </w:rPr>
        <w:t>מצומצמת מאוד</w:t>
      </w:r>
      <w:r>
        <w:rPr>
          <w:rFonts w:hint="cs"/>
          <w:rtl/>
        </w:rPr>
        <w:t>.</w:t>
      </w:r>
      <w:r w:rsidRPr="005537CF">
        <w:rPr>
          <w:rFonts w:hint="cs"/>
          <w:rtl/>
        </w:rPr>
        <w:t xml:space="preserve"> </w:t>
      </w:r>
      <w:r>
        <w:rPr>
          <w:rFonts w:hint="cs"/>
          <w:rtl/>
        </w:rPr>
        <w:t xml:space="preserve">עוד הושרש בפסיקה הכלל, לפיו </w:t>
      </w:r>
      <w:r w:rsidRPr="005537CF">
        <w:rPr>
          <w:rtl/>
        </w:rPr>
        <w:t xml:space="preserve">במקרים </w:t>
      </w:r>
      <w:r>
        <w:rPr>
          <w:rFonts w:hint="cs"/>
          <w:rtl/>
        </w:rPr>
        <w:t>ש</w:t>
      </w:r>
      <w:r w:rsidRPr="005537CF">
        <w:rPr>
          <w:rtl/>
        </w:rPr>
        <w:t xml:space="preserve">בהם ההחלטה שלא לפתוח בחקירה התקבלה על-ידי הגורמים הבכירים ביותר במערכת אכיפת החוק, </w:t>
      </w:r>
      <w:r>
        <w:rPr>
          <w:rFonts w:hint="cs"/>
          <w:rtl/>
        </w:rPr>
        <w:t>כ</w:t>
      </w:r>
      <w:r w:rsidRPr="005537CF">
        <w:rPr>
          <w:rFonts w:hint="cs"/>
          <w:rtl/>
        </w:rPr>
        <w:t>בענייננו</w:t>
      </w:r>
      <w:r w:rsidRPr="005537CF">
        <w:rPr>
          <w:rtl/>
        </w:rPr>
        <w:t xml:space="preserve">, </w:t>
      </w:r>
      <w:r>
        <w:rPr>
          <w:rFonts w:hint="cs"/>
          <w:rtl/>
        </w:rPr>
        <w:t xml:space="preserve">יש לדבוק בכלל </w:t>
      </w:r>
      <w:r w:rsidRPr="005537CF">
        <w:rPr>
          <w:rtl/>
        </w:rPr>
        <w:t>אי-ההתערבות</w:t>
      </w:r>
      <w:r>
        <w:rPr>
          <w:rFonts w:hint="cs"/>
          <w:rtl/>
        </w:rPr>
        <w:t>, אלא</w:t>
      </w:r>
      <w:r w:rsidRPr="005537CF">
        <w:rPr>
          <w:rtl/>
        </w:rPr>
        <w:t xml:space="preserve"> </w:t>
      </w:r>
      <w:r>
        <w:rPr>
          <w:rFonts w:hint="cs"/>
          <w:rtl/>
        </w:rPr>
        <w:t>ב</w:t>
      </w:r>
      <w:r w:rsidRPr="005537CF">
        <w:rPr>
          <w:rtl/>
        </w:rPr>
        <w:t>מקרים חריגים שבחריגים (</w:t>
      </w:r>
      <w:r w:rsidRPr="005537CF">
        <w:rPr>
          <w:rFonts w:hint="cs"/>
          <w:rtl/>
        </w:rPr>
        <w:t xml:space="preserve">עניין </w:t>
      </w:r>
      <w:proofErr w:type="spellStart"/>
      <w:r w:rsidRPr="005537CF">
        <w:rPr>
          <w:rFonts w:ascii="Century" w:hAnsi="Century" w:cs="Miriam"/>
          <w:b/>
          <w:spacing w:val="0"/>
          <w:szCs w:val="24"/>
          <w:rtl/>
        </w:rPr>
        <w:t>אלוביץ</w:t>
      </w:r>
      <w:proofErr w:type="spellEnd"/>
      <w:r w:rsidRPr="005537CF">
        <w:rPr>
          <w:rFonts w:ascii="Century" w:hAnsi="Century" w:cs="Miriam"/>
          <w:b/>
          <w:spacing w:val="0"/>
          <w:szCs w:val="24"/>
          <w:rtl/>
        </w:rPr>
        <w:t xml:space="preserve">' </w:t>
      </w:r>
      <w:r w:rsidRPr="005537CF">
        <w:rPr>
          <w:rtl/>
        </w:rPr>
        <w:t>פסקה 10</w:t>
      </w:r>
      <w:r>
        <w:rPr>
          <w:rFonts w:hint="cs"/>
          <w:rtl/>
        </w:rPr>
        <w:t>;</w:t>
      </w:r>
      <w:r w:rsidRPr="005537CF">
        <w:rPr>
          <w:rFonts w:hint="cs"/>
          <w:rtl/>
        </w:rPr>
        <w:t xml:space="preserve"> עניין</w:t>
      </w:r>
      <w:r w:rsidRPr="005537CF">
        <w:rPr>
          <w:rtl/>
        </w:rPr>
        <w:t xml:space="preserve"> </w:t>
      </w:r>
      <w:r w:rsidRPr="005537CF">
        <w:rPr>
          <w:rFonts w:ascii="Century" w:hAnsi="Century" w:cs="Miriam"/>
          <w:b/>
          <w:spacing w:val="0"/>
          <w:szCs w:val="24"/>
          <w:rtl/>
        </w:rPr>
        <w:t>פרנק</w:t>
      </w:r>
      <w:r>
        <w:rPr>
          <w:rFonts w:hint="cs"/>
          <w:rtl/>
        </w:rPr>
        <w:t xml:space="preserve"> </w:t>
      </w:r>
      <w:r w:rsidRPr="005537CF">
        <w:rPr>
          <w:rtl/>
        </w:rPr>
        <w:t>פסקה 12).</w:t>
      </w:r>
      <w:r>
        <w:rPr>
          <w:rFonts w:hint="cs"/>
          <w:rtl/>
        </w:rPr>
        <w:t xml:space="preserve"> לכללים אלה </w:t>
      </w:r>
      <w:r w:rsidRPr="002B3EFC">
        <w:rPr>
          <w:rFonts w:hint="cs"/>
          <w:rtl/>
        </w:rPr>
        <w:t xml:space="preserve">נודעת חשיבות יתרה בהחלטות </w:t>
      </w:r>
      <w:r>
        <w:rPr>
          <w:rFonts w:hint="cs"/>
          <w:rtl/>
        </w:rPr>
        <w:t>המבוססות על מורכבות השאלות העובדתיות שעל הפרק, כגון ההחלטה שלא לפתוח בחקירה מאחר ש</w:t>
      </w:r>
      <w:r w:rsidRPr="002B3EFC">
        <w:rPr>
          <w:rFonts w:hint="cs"/>
          <w:rtl/>
        </w:rPr>
        <w:t xml:space="preserve">תוחלתה </w:t>
      </w:r>
      <w:r>
        <w:rPr>
          <w:rFonts w:hint="cs"/>
          <w:rtl/>
        </w:rPr>
        <w:t>נמוכה</w:t>
      </w:r>
      <w:r w:rsidRPr="002B3EFC">
        <w:rPr>
          <w:rFonts w:hint="cs"/>
          <w:rtl/>
        </w:rPr>
        <w:t>.</w:t>
      </w:r>
    </w:p>
    <w:p w:rsidR="00DB6151" w:rsidRDefault="00DB6151" w:rsidP="00DB6151">
      <w:pPr>
        <w:pStyle w:val="Ruller41"/>
        <w:overflowPunct/>
        <w:autoSpaceDE/>
        <w:autoSpaceDN/>
        <w:adjustRightInd/>
        <w:spacing w:before="240" w:after="240"/>
        <w:textAlignment w:val="auto"/>
        <w:rPr>
          <w:rtl/>
        </w:rPr>
      </w:pPr>
      <w:r w:rsidRPr="002B3EFC">
        <w:rPr>
          <w:rtl/>
        </w:rPr>
        <w:tab/>
      </w:r>
      <w:r>
        <w:rPr>
          <w:rFonts w:hint="cs"/>
          <w:rtl/>
        </w:rPr>
        <w:t xml:space="preserve">לכלל אי ההתערבות האמור יש היגיון רב. </w:t>
      </w:r>
      <w:r w:rsidRPr="002B3EFC">
        <w:rPr>
          <w:rFonts w:hint="cs"/>
          <w:rtl/>
        </w:rPr>
        <w:t xml:space="preserve">שכן, </w:t>
      </w:r>
      <w:r>
        <w:rPr>
          <w:rFonts w:hint="cs"/>
          <w:rtl/>
        </w:rPr>
        <w:t>מלאכת ה</w:t>
      </w:r>
      <w:r w:rsidRPr="002B3EFC">
        <w:rPr>
          <w:rFonts w:hint="cs"/>
          <w:rtl/>
        </w:rPr>
        <w:t xml:space="preserve">בחינה של </w:t>
      </w:r>
      <w:r>
        <w:rPr>
          <w:rFonts w:hint="cs"/>
          <w:rtl/>
        </w:rPr>
        <w:t>מנעד</w:t>
      </w:r>
      <w:r w:rsidRPr="002B3EFC">
        <w:rPr>
          <w:rFonts w:hint="cs"/>
          <w:rtl/>
        </w:rPr>
        <w:t xml:space="preserve"> הפעולות החקירתיות האפשריות ותוחלתן, נמסרה לרשויות אכיפת החוק </w:t>
      </w:r>
      <w:r w:rsidRPr="002B3EFC">
        <w:rPr>
          <w:rtl/>
        </w:rPr>
        <w:t>–</w:t>
      </w:r>
      <w:r w:rsidRPr="002B3EFC">
        <w:rPr>
          <w:rFonts w:hint="cs"/>
          <w:rtl/>
        </w:rPr>
        <w:t xml:space="preserve"> ולא בכדי. מדובר בעניין הדורש מומחיות במגוון תחומים, לרבות ה</w:t>
      </w:r>
      <w:r>
        <w:rPr>
          <w:rFonts w:hint="cs"/>
          <w:rtl/>
        </w:rPr>
        <w:t xml:space="preserve">בנה </w:t>
      </w:r>
      <w:r w:rsidRPr="002B3EFC">
        <w:rPr>
          <w:rFonts w:hint="cs"/>
          <w:rtl/>
        </w:rPr>
        <w:t>טכנולוגי</w:t>
      </w:r>
      <w:r>
        <w:rPr>
          <w:rFonts w:hint="cs"/>
          <w:rtl/>
        </w:rPr>
        <w:t>ת של אמצעי החקירה הרלוונטיים</w:t>
      </w:r>
      <w:r w:rsidRPr="002B3EFC">
        <w:rPr>
          <w:rFonts w:hint="cs"/>
          <w:rtl/>
        </w:rPr>
        <w:t xml:space="preserve">, </w:t>
      </w:r>
      <w:r>
        <w:rPr>
          <w:rFonts w:hint="cs"/>
          <w:rtl/>
        </w:rPr>
        <w:t xml:space="preserve">וכן הבנה מעמיקה בתחום </w:t>
      </w:r>
      <w:r w:rsidRPr="002B3EFC">
        <w:rPr>
          <w:rFonts w:hint="cs"/>
          <w:rtl/>
        </w:rPr>
        <w:t xml:space="preserve">המודיעיני </w:t>
      </w:r>
      <w:r>
        <w:rPr>
          <w:rFonts w:hint="cs"/>
          <w:rtl/>
        </w:rPr>
        <w:t>ו</w:t>
      </w:r>
      <w:r w:rsidRPr="002B3EFC">
        <w:rPr>
          <w:rFonts w:hint="cs"/>
          <w:rtl/>
        </w:rPr>
        <w:t xml:space="preserve">החקירתי. כך, למשל, גורמי אכיפת החוק נדרשים להחליט האם בגדר </w:t>
      </w:r>
      <w:r>
        <w:rPr>
          <w:rFonts w:hint="cs"/>
          <w:rtl/>
        </w:rPr>
        <w:t>מגוון</w:t>
      </w:r>
      <w:r w:rsidRPr="002B3EFC">
        <w:rPr>
          <w:rFonts w:hint="cs"/>
          <w:rtl/>
        </w:rPr>
        <w:t xml:space="preserve"> הפעולות החקירתיות, בנסיבות אותו עניין, ניתן ונכון לנקוט בצווי חיפוש סמויים וגלויים; צווי האזנת סתר; צווים לחיפוש בחומר מחשב; תשאול עדים; חקירה באזהרה ועוד. לאחר מכן, וכדי לעמוד על תוחלת החקירה והאפשרות להתחקות אחר זהות מוסר המידע, נדרשים גורמי אכיפת החוק להעריך את הסיכוי להגיע לחקר האמת, </w:t>
      </w:r>
      <w:r>
        <w:rPr>
          <w:rFonts w:hint="cs"/>
          <w:rtl/>
        </w:rPr>
        <w:t xml:space="preserve">על-ידי </w:t>
      </w:r>
      <w:r w:rsidRPr="002B3EFC">
        <w:rPr>
          <w:rFonts w:hint="cs"/>
          <w:rtl/>
        </w:rPr>
        <w:t>שימוש באמצעי החקירה השונים. אין מדובר במלאכה קלה כלל ועיקר, שכן הערכה אפריורית של מסקנות אמצעי החקירה, בנסיבות כל עניין, משתנה ומושפעת ממספר רב של נתונים לרבות חלוף הזמן, חידושים טכנולוגיים ומגבלות חוקיות צפויות</w:t>
      </w:r>
      <w:r>
        <w:rPr>
          <w:rFonts w:hint="cs"/>
          <w:rtl/>
        </w:rPr>
        <w:t>, כגון, האפשרות שבית משפט לא ייעתר לבקשה למתן צו חיפוש</w:t>
      </w:r>
      <w:r w:rsidRPr="002B3EFC">
        <w:rPr>
          <w:rFonts w:hint="cs"/>
          <w:rtl/>
        </w:rPr>
        <w:t xml:space="preserve"> (וראו האמור בהנחיית היועץ בהקשר זה). </w:t>
      </w:r>
    </w:p>
    <w:p w:rsidR="00DB6151" w:rsidRDefault="00DB6151" w:rsidP="00DB6151">
      <w:pPr>
        <w:pStyle w:val="Ruller41"/>
        <w:overflowPunct/>
        <w:autoSpaceDE/>
        <w:autoSpaceDN/>
        <w:adjustRightInd/>
        <w:spacing w:before="240" w:after="240"/>
        <w:textAlignment w:val="auto"/>
        <w:rPr>
          <w:rtl/>
        </w:rPr>
      </w:pPr>
      <w:r>
        <w:rPr>
          <w:rtl/>
        </w:rPr>
        <w:lastRenderedPageBreak/>
        <w:tab/>
      </w:r>
      <w:r w:rsidRPr="002B3EFC">
        <w:rPr>
          <w:rFonts w:hint="cs"/>
          <w:rtl/>
        </w:rPr>
        <w:t xml:space="preserve">דברים אלה לא שונים </w:t>
      </w:r>
      <w:r>
        <w:rPr>
          <w:rFonts w:hint="cs"/>
          <w:rtl/>
        </w:rPr>
        <w:t xml:space="preserve">מההלכה ביחס </w:t>
      </w:r>
      <w:r w:rsidRPr="002B3EFC">
        <w:rPr>
          <w:rFonts w:hint="cs"/>
          <w:rtl/>
        </w:rPr>
        <w:t xml:space="preserve">להיקף הביקורת השיפוטית על </w:t>
      </w:r>
      <w:r>
        <w:rPr>
          <w:rFonts w:hint="cs"/>
          <w:rtl/>
        </w:rPr>
        <w:t>החלטה</w:t>
      </w:r>
      <w:r w:rsidRPr="002B3EFC">
        <w:rPr>
          <w:rFonts w:hint="cs"/>
          <w:rtl/>
        </w:rPr>
        <w:t xml:space="preserve"> שלא להגיש כתב אישום, </w:t>
      </w:r>
      <w:r w:rsidRPr="002B3EFC">
        <w:rPr>
          <w:rFonts w:ascii="Century" w:hAnsi="Century" w:hint="cs"/>
          <w:rtl/>
        </w:rPr>
        <w:t xml:space="preserve">כאשר </w:t>
      </w:r>
      <w:r>
        <w:rPr>
          <w:rFonts w:ascii="Century" w:hAnsi="Century" w:hint="cs"/>
          <w:rtl/>
        </w:rPr>
        <w:t>ביסוד</w:t>
      </w:r>
      <w:r w:rsidRPr="002B3EFC">
        <w:rPr>
          <w:rFonts w:ascii="Century" w:hAnsi="Century" w:hint="cs"/>
          <w:rtl/>
        </w:rPr>
        <w:t xml:space="preserve">ה </w:t>
      </w:r>
      <w:r>
        <w:rPr>
          <w:rFonts w:ascii="Century" w:hAnsi="Century" w:hint="cs"/>
          <w:rtl/>
        </w:rPr>
        <w:t xml:space="preserve">ניצבת הערכה של </w:t>
      </w:r>
      <w:r w:rsidRPr="002B3EFC">
        <w:rPr>
          <w:rFonts w:ascii="Century" w:hAnsi="Century" w:hint="cs"/>
          <w:rtl/>
        </w:rPr>
        <w:t>דיות הראיות</w:t>
      </w:r>
      <w:r>
        <w:rPr>
          <w:rFonts w:hint="cs"/>
          <w:rtl/>
        </w:rPr>
        <w:t>,</w:t>
      </w:r>
      <w:r w:rsidRPr="002B3EFC">
        <w:rPr>
          <w:rFonts w:hint="cs"/>
          <w:rtl/>
        </w:rPr>
        <w:t xml:space="preserve"> ל</w:t>
      </w:r>
      <w:r>
        <w:rPr>
          <w:rFonts w:hint="cs"/>
          <w:rtl/>
        </w:rPr>
        <w:t xml:space="preserve">הבדיל מטעמים שעניינם </w:t>
      </w:r>
      <w:r w:rsidRPr="002B3EFC">
        <w:rPr>
          <w:rFonts w:hint="cs"/>
          <w:rtl/>
        </w:rPr>
        <w:t>ב</w:t>
      </w:r>
      <w:r>
        <w:rPr>
          <w:rFonts w:hint="cs"/>
          <w:rtl/>
        </w:rPr>
        <w:t xml:space="preserve">חוסר </w:t>
      </w:r>
      <w:r w:rsidRPr="002B3EFC">
        <w:rPr>
          <w:rFonts w:hint="cs"/>
          <w:rtl/>
        </w:rPr>
        <w:t>עניין לציבור (</w:t>
      </w:r>
      <w:r w:rsidRPr="002B3EFC">
        <w:rPr>
          <w:rFonts w:ascii="Century" w:hAnsi="Century" w:hint="cs"/>
          <w:rtl/>
        </w:rPr>
        <w:t>עניין</w:t>
      </w:r>
      <w:r w:rsidRPr="002B3EFC">
        <w:rPr>
          <w:rFonts w:ascii="Century" w:hAnsi="Century" w:cs="Miriam" w:hint="cs"/>
          <w:b/>
          <w:spacing w:val="0"/>
          <w:szCs w:val="24"/>
          <w:rtl/>
        </w:rPr>
        <w:t xml:space="preserve"> התנועה למען איכות השלטון</w:t>
      </w:r>
      <w:r w:rsidRPr="002B3EFC">
        <w:rPr>
          <w:rFonts w:hint="cs"/>
          <w:sz w:val="28"/>
          <w:rtl/>
        </w:rPr>
        <w:t xml:space="preserve">, פסקה 70 וההפניות הרבות שם; בג"ץ 9443/16 </w:t>
      </w:r>
      <w:r w:rsidRPr="002B3EFC">
        <w:rPr>
          <w:rFonts w:ascii="Century" w:hAnsi="Century" w:cs="Miriam" w:hint="cs"/>
          <w:b/>
          <w:spacing w:val="0"/>
          <w:szCs w:val="24"/>
          <w:rtl/>
        </w:rPr>
        <w:t>התנועה למען איכות השלטון בישראל נ' פרקליט המדינה</w:t>
      </w:r>
      <w:r w:rsidRPr="002B3EFC">
        <w:rPr>
          <w:rFonts w:hint="cs"/>
          <w:sz w:val="28"/>
          <w:rtl/>
        </w:rPr>
        <w:t xml:space="preserve">, פסקה 20 לחוות דעתו של השופט </w:t>
      </w:r>
      <w:r w:rsidRPr="002B3EFC">
        <w:rPr>
          <w:rFonts w:ascii="Century" w:hAnsi="Century" w:cs="Miriam" w:hint="cs"/>
          <w:b/>
          <w:spacing w:val="0"/>
          <w:szCs w:val="24"/>
          <w:rtl/>
        </w:rPr>
        <w:t xml:space="preserve">ע' </w:t>
      </w:r>
      <w:proofErr w:type="spellStart"/>
      <w:r w:rsidRPr="002B3EFC">
        <w:rPr>
          <w:rFonts w:ascii="Century" w:hAnsi="Century" w:cs="Miriam" w:hint="cs"/>
          <w:b/>
          <w:spacing w:val="0"/>
          <w:szCs w:val="24"/>
          <w:rtl/>
        </w:rPr>
        <w:t>פוגלמן</w:t>
      </w:r>
      <w:proofErr w:type="spellEnd"/>
      <w:r w:rsidRPr="002B3EFC">
        <w:rPr>
          <w:rFonts w:hint="cs"/>
          <w:sz w:val="28"/>
          <w:rtl/>
        </w:rPr>
        <w:t xml:space="preserve"> והערת חברתי, השופטת </w:t>
      </w:r>
      <w:r w:rsidRPr="00472291">
        <w:rPr>
          <w:rFonts w:ascii="Century" w:hAnsi="Century" w:cs="Miriam" w:hint="eastAsia"/>
          <w:b/>
          <w:spacing w:val="0"/>
          <w:szCs w:val="24"/>
          <w:rtl/>
        </w:rPr>
        <w:t>ד</w:t>
      </w:r>
      <w:r w:rsidRPr="00472291">
        <w:rPr>
          <w:rFonts w:ascii="Century" w:hAnsi="Century" w:cs="Miriam"/>
          <w:b/>
          <w:spacing w:val="0"/>
          <w:szCs w:val="24"/>
          <w:rtl/>
        </w:rPr>
        <w:t>'</w:t>
      </w:r>
      <w:r>
        <w:rPr>
          <w:rFonts w:hint="cs"/>
          <w:sz w:val="28"/>
          <w:rtl/>
        </w:rPr>
        <w:t xml:space="preserve"> </w:t>
      </w:r>
      <w:r w:rsidRPr="002B3EFC">
        <w:rPr>
          <w:rFonts w:ascii="Century" w:hAnsi="Century" w:cs="Miriam" w:hint="cs"/>
          <w:b/>
          <w:spacing w:val="0"/>
          <w:szCs w:val="24"/>
          <w:rtl/>
        </w:rPr>
        <w:t>ברק-ארז</w:t>
      </w:r>
      <w:r w:rsidRPr="002B3EFC">
        <w:rPr>
          <w:rFonts w:hint="cs"/>
          <w:sz w:val="28"/>
          <w:rtl/>
        </w:rPr>
        <w:t xml:space="preserve"> בחוות דעתה שם (15.08.2017))</w:t>
      </w:r>
      <w:r w:rsidRPr="002B3EFC">
        <w:rPr>
          <w:rFonts w:hint="cs"/>
          <w:rtl/>
        </w:rPr>
        <w:t>.</w:t>
      </w:r>
    </w:p>
    <w:p w:rsidR="00DB6151" w:rsidRPr="00BB5E9B" w:rsidRDefault="00DB6151" w:rsidP="00DB6151">
      <w:pPr>
        <w:pStyle w:val="Ruller41"/>
        <w:overflowPunct/>
        <w:autoSpaceDE/>
        <w:autoSpaceDN/>
        <w:adjustRightInd/>
        <w:spacing w:before="240" w:after="240"/>
        <w:textAlignment w:val="auto"/>
        <w:rPr>
          <w:rtl/>
        </w:rPr>
      </w:pPr>
      <w:r>
        <w:rPr>
          <w:rtl/>
        </w:rPr>
        <w:tab/>
      </w:r>
      <w:r>
        <w:rPr>
          <w:rFonts w:hint="cs"/>
          <w:rtl/>
        </w:rPr>
        <w:t>בנוסף לכך, בהקשר של תוחלת החקירה ביחס להדלפות של מידע האסור בגילוי, לא אחת מתעוררת גם שאלת</w:t>
      </w:r>
      <w:r>
        <w:rPr>
          <w:rtl/>
        </w:rPr>
        <w:t xml:space="preserve"> </w:t>
      </w:r>
      <w:r>
        <w:rPr>
          <w:rFonts w:hint="cs"/>
          <w:rtl/>
        </w:rPr>
        <w:t>ה</w:t>
      </w:r>
      <w:r>
        <w:rPr>
          <w:rtl/>
        </w:rPr>
        <w:t>חיסיון העיתונאי.</w:t>
      </w:r>
      <w:r>
        <w:rPr>
          <w:rFonts w:hint="cs"/>
          <w:rtl/>
        </w:rPr>
        <w:t xml:space="preserve"> אמנם מדובר</w:t>
      </w:r>
      <w:r>
        <w:rPr>
          <w:rtl/>
        </w:rPr>
        <w:t xml:space="preserve"> </w:t>
      </w:r>
      <w:r>
        <w:rPr>
          <w:rFonts w:hint="cs"/>
          <w:rtl/>
        </w:rPr>
        <w:t>ב</w:t>
      </w:r>
      <w:r>
        <w:rPr>
          <w:rtl/>
        </w:rPr>
        <w:t>חיסיון יחסי, ו</w:t>
      </w:r>
      <w:r>
        <w:rPr>
          <w:rFonts w:hint="cs"/>
          <w:rtl/>
        </w:rPr>
        <w:t>ל</w:t>
      </w:r>
      <w:r>
        <w:rPr>
          <w:rtl/>
        </w:rPr>
        <w:t xml:space="preserve">בית המשפט </w:t>
      </w:r>
      <w:r>
        <w:rPr>
          <w:rFonts w:hint="cs"/>
          <w:rtl/>
        </w:rPr>
        <w:t>סמכות</w:t>
      </w:r>
      <w:r>
        <w:rPr>
          <w:rtl/>
        </w:rPr>
        <w:t xml:space="preserve"> ל</w:t>
      </w:r>
      <w:r>
        <w:rPr>
          <w:rFonts w:hint="cs"/>
          <w:rtl/>
        </w:rPr>
        <w:t>הסירו</w:t>
      </w:r>
      <w:r>
        <w:rPr>
          <w:rtl/>
        </w:rPr>
        <w:t xml:space="preserve"> לאחר </w:t>
      </w:r>
      <w:r>
        <w:rPr>
          <w:rFonts w:hint="cs"/>
          <w:rtl/>
        </w:rPr>
        <w:t xml:space="preserve">הפעלת </w:t>
      </w:r>
      <w:r>
        <w:rPr>
          <w:rtl/>
        </w:rPr>
        <w:t>ש</w:t>
      </w:r>
      <w:r>
        <w:rPr>
          <w:rFonts w:hint="cs"/>
          <w:rtl/>
        </w:rPr>
        <w:t>י</w:t>
      </w:r>
      <w:r>
        <w:rPr>
          <w:rtl/>
        </w:rPr>
        <w:t>ק</w:t>
      </w:r>
      <w:r>
        <w:rPr>
          <w:rFonts w:hint="cs"/>
          <w:rtl/>
        </w:rPr>
        <w:t>ו</w:t>
      </w:r>
      <w:r>
        <w:rPr>
          <w:rtl/>
        </w:rPr>
        <w:t>ל</w:t>
      </w:r>
      <w:r>
        <w:rPr>
          <w:rFonts w:hint="cs"/>
          <w:rtl/>
        </w:rPr>
        <w:t xml:space="preserve"> דעת בנסיבות כל עניין ועניין. עם זאת, ברי כי </w:t>
      </w:r>
      <w:r>
        <w:rPr>
          <w:rtl/>
        </w:rPr>
        <w:t xml:space="preserve">על </w:t>
      </w:r>
      <w:r>
        <w:rPr>
          <w:rFonts w:hint="cs"/>
          <w:rtl/>
        </w:rPr>
        <w:t>גורמי אכיפת החוק מוטלת חובה לנקוט</w:t>
      </w:r>
      <w:r>
        <w:rPr>
          <w:rtl/>
        </w:rPr>
        <w:t xml:space="preserve"> </w:t>
      </w:r>
      <w:r>
        <w:rPr>
          <w:rFonts w:hint="cs"/>
          <w:rtl/>
        </w:rPr>
        <w:t>ב</w:t>
      </w:r>
      <w:r>
        <w:rPr>
          <w:rtl/>
        </w:rPr>
        <w:t xml:space="preserve">משנה זהירות בטרם </w:t>
      </w:r>
      <w:r>
        <w:rPr>
          <w:rFonts w:hint="cs"/>
          <w:rtl/>
        </w:rPr>
        <w:t>הם פונים לבית המשפט בבקשה כאמור. דבר המהווה נדבך נוסף שבא במניין שיקולי גורמי אכיפת החוק במסגרת המלאכה המוטלת עליהם.</w:t>
      </w:r>
    </w:p>
    <w:p w:rsidR="00DB6151" w:rsidRDefault="00DB6151" w:rsidP="00DB6151">
      <w:pPr>
        <w:pStyle w:val="Ruller41"/>
        <w:numPr>
          <w:ilvl w:val="0"/>
          <w:numId w:val="13"/>
        </w:numPr>
        <w:overflowPunct/>
        <w:autoSpaceDE/>
        <w:autoSpaceDN/>
        <w:adjustRightInd/>
        <w:spacing w:before="240" w:after="240"/>
        <w:ind w:left="0" w:firstLine="0"/>
        <w:textAlignment w:val="auto"/>
      </w:pPr>
      <w:r w:rsidRPr="00C90C20">
        <w:rPr>
          <w:rFonts w:hint="eastAsia"/>
          <w:rtl/>
        </w:rPr>
        <w:t>בהינתן</w:t>
      </w:r>
      <w:r w:rsidRPr="00C90C20">
        <w:rPr>
          <w:rtl/>
        </w:rPr>
        <w:t xml:space="preserve"> האמור אין זה מפתיע, כי </w:t>
      </w:r>
      <w:r w:rsidRPr="0015713E">
        <w:rPr>
          <w:rtl/>
        </w:rPr>
        <w:t>מרבית טענות</w:t>
      </w:r>
      <w:r w:rsidRPr="00C90C20">
        <w:rPr>
          <w:rtl/>
        </w:rPr>
        <w:t xml:space="preserve"> העותר מכוונות </w:t>
      </w:r>
      <w:r w:rsidRPr="0015713E">
        <w:rPr>
          <w:rFonts w:hint="eastAsia"/>
          <w:rtl/>
        </w:rPr>
        <w:t>לעבר</w:t>
      </w:r>
      <w:r w:rsidRPr="0015713E">
        <w:rPr>
          <w:rtl/>
        </w:rPr>
        <w:t xml:space="preserve"> </w:t>
      </w:r>
      <w:r w:rsidRPr="0015713E">
        <w:rPr>
          <w:rFonts w:hint="eastAsia"/>
          <w:rtl/>
        </w:rPr>
        <w:t>תוחלת</w:t>
      </w:r>
      <w:r w:rsidRPr="0015713E">
        <w:rPr>
          <w:rtl/>
        </w:rPr>
        <w:t xml:space="preserve"> </w:t>
      </w:r>
      <w:r w:rsidRPr="0015713E">
        <w:rPr>
          <w:rFonts w:hint="eastAsia"/>
          <w:rtl/>
        </w:rPr>
        <w:t>החקירה</w:t>
      </w:r>
      <w:r w:rsidRPr="0015713E">
        <w:rPr>
          <w:rtl/>
        </w:rPr>
        <w:t xml:space="preserve"> </w:t>
      </w:r>
      <w:r w:rsidRPr="0015713E">
        <w:rPr>
          <w:rFonts w:hint="eastAsia"/>
          <w:rtl/>
        </w:rPr>
        <w:t>והאפשרות</w:t>
      </w:r>
      <w:r w:rsidRPr="0015713E">
        <w:rPr>
          <w:rtl/>
        </w:rPr>
        <w:t xml:space="preserve"> להתחקות אחר זהות מוסר המידע. </w:t>
      </w:r>
      <w:r>
        <w:rPr>
          <w:rFonts w:hint="cs"/>
          <w:rtl/>
        </w:rPr>
        <w:t xml:space="preserve">למעשה, העותר מבקש להוליכנו במשעולי ה'ראיות' ולאמץ את המסקנות שהוא מסיק מהן, ולפיהן תוחלת החקירה בענייננו אינה נמוכה </w:t>
      </w:r>
      <w:r>
        <w:rPr>
          <w:rtl/>
        </w:rPr>
        <w:t>–</w:t>
      </w:r>
      <w:r>
        <w:rPr>
          <w:rFonts w:hint="cs"/>
          <w:rtl/>
        </w:rPr>
        <w:t xml:space="preserve"> הכול כמפורט בהרחבה לעיל.</w:t>
      </w:r>
      <w:r w:rsidRPr="00DF5F62">
        <w:rPr>
          <w:rFonts w:hint="cs"/>
          <w:rtl/>
        </w:rPr>
        <w:t xml:space="preserve"> </w:t>
      </w:r>
      <w:r>
        <w:rPr>
          <w:rFonts w:hint="cs"/>
          <w:rtl/>
        </w:rPr>
        <w:t xml:space="preserve">גם אם הדבר לא הובהר במפורש בכתב, דומה כי העותר מלין, בעיקרו של דבר, נגד מסקנתה של היועצת, שלפיה גם אם תיערך כיום חקירה בעניין, הסיכויים שיימצא הגורם שהדליף את חומר החקירה בענייננו </w:t>
      </w:r>
      <w:r>
        <w:rPr>
          <w:rtl/>
        </w:rPr>
        <w:t>–</w:t>
      </w:r>
      <w:r>
        <w:rPr>
          <w:rFonts w:hint="cs"/>
          <w:rtl/>
        </w:rPr>
        <w:t xml:space="preserve"> אינם גבוהים כלל.</w:t>
      </w:r>
    </w:p>
    <w:p w:rsidR="00DB6151" w:rsidRDefault="00DB6151" w:rsidP="00E464F1">
      <w:pPr>
        <w:pStyle w:val="Ruller41"/>
        <w:numPr>
          <w:ilvl w:val="0"/>
          <w:numId w:val="13"/>
        </w:numPr>
        <w:overflowPunct/>
        <w:autoSpaceDE/>
        <w:autoSpaceDN/>
        <w:adjustRightInd/>
        <w:spacing w:before="240" w:after="240"/>
        <w:ind w:left="0" w:firstLine="0"/>
        <w:textAlignment w:val="auto"/>
      </w:pPr>
      <w:r w:rsidRPr="00C90C20">
        <w:rPr>
          <w:rFonts w:hint="eastAsia"/>
          <w:rtl/>
        </w:rPr>
        <w:t>יוער</w:t>
      </w:r>
      <w:r w:rsidRPr="00C90C20">
        <w:rPr>
          <w:rtl/>
        </w:rPr>
        <w:t xml:space="preserve">, </w:t>
      </w:r>
      <w:r w:rsidRPr="00C90C20">
        <w:rPr>
          <w:rFonts w:hint="eastAsia"/>
          <w:rtl/>
        </w:rPr>
        <w:t>כי</w:t>
      </w:r>
      <w:r w:rsidRPr="0015713E">
        <w:rPr>
          <w:rtl/>
        </w:rPr>
        <w:t xml:space="preserve"> </w:t>
      </w:r>
      <w:r w:rsidRPr="0015713E">
        <w:rPr>
          <w:rFonts w:hint="eastAsia"/>
          <w:rtl/>
        </w:rPr>
        <w:t>במישור</w:t>
      </w:r>
      <w:r w:rsidRPr="0015713E">
        <w:rPr>
          <w:rtl/>
        </w:rPr>
        <w:t xml:space="preserve"> </w:t>
      </w:r>
      <w:r w:rsidRPr="0015713E">
        <w:rPr>
          <w:rFonts w:hint="eastAsia"/>
          <w:rtl/>
        </w:rPr>
        <w:t>המשפטי</w:t>
      </w:r>
      <w:r w:rsidRPr="0015713E">
        <w:rPr>
          <w:rtl/>
        </w:rPr>
        <w:t xml:space="preserve">, </w:t>
      </w:r>
      <w:r w:rsidRPr="0015713E">
        <w:rPr>
          <w:rFonts w:hint="eastAsia"/>
          <w:rtl/>
        </w:rPr>
        <w:t>העותר</w:t>
      </w:r>
      <w:r w:rsidRPr="0015713E">
        <w:rPr>
          <w:rtl/>
        </w:rPr>
        <w:t xml:space="preserve"> </w:t>
      </w:r>
      <w:r w:rsidRPr="0015713E">
        <w:rPr>
          <w:rFonts w:hint="eastAsia"/>
          <w:rtl/>
        </w:rPr>
        <w:t>לא</w:t>
      </w:r>
      <w:r w:rsidRPr="0015713E">
        <w:rPr>
          <w:rtl/>
        </w:rPr>
        <w:t xml:space="preserve"> </w:t>
      </w:r>
      <w:r w:rsidRPr="0015713E">
        <w:rPr>
          <w:rFonts w:hint="eastAsia"/>
          <w:rtl/>
        </w:rPr>
        <w:t>ביסס</w:t>
      </w:r>
      <w:r w:rsidRPr="0015713E">
        <w:rPr>
          <w:rtl/>
        </w:rPr>
        <w:t xml:space="preserve"> </w:t>
      </w:r>
      <w:r w:rsidRPr="0015713E">
        <w:rPr>
          <w:rFonts w:hint="eastAsia"/>
          <w:rtl/>
        </w:rPr>
        <w:t>טענותיו</w:t>
      </w:r>
      <w:r w:rsidRPr="0015713E">
        <w:rPr>
          <w:rtl/>
        </w:rPr>
        <w:t xml:space="preserve"> </w:t>
      </w:r>
      <w:r w:rsidRPr="0015713E">
        <w:rPr>
          <w:rFonts w:hint="eastAsia"/>
          <w:rtl/>
        </w:rPr>
        <w:t>על</w:t>
      </w:r>
      <w:r w:rsidRPr="0015713E">
        <w:rPr>
          <w:rtl/>
        </w:rPr>
        <w:t xml:space="preserve"> </w:t>
      </w:r>
      <w:r w:rsidRPr="0015713E">
        <w:rPr>
          <w:rFonts w:hint="eastAsia"/>
          <w:rtl/>
        </w:rPr>
        <w:t>עילה</w:t>
      </w:r>
      <w:r w:rsidRPr="0015713E">
        <w:rPr>
          <w:rtl/>
        </w:rPr>
        <w:t xml:space="preserve"> </w:t>
      </w:r>
      <w:r w:rsidRPr="0015713E">
        <w:rPr>
          <w:rFonts w:hint="eastAsia"/>
          <w:rtl/>
        </w:rPr>
        <w:t>מוכרת</w:t>
      </w:r>
      <w:r w:rsidRPr="0015713E">
        <w:rPr>
          <w:rtl/>
        </w:rPr>
        <w:t xml:space="preserve"> </w:t>
      </w:r>
      <w:r w:rsidRPr="0015713E">
        <w:rPr>
          <w:rFonts w:hint="eastAsia"/>
          <w:rtl/>
        </w:rPr>
        <w:t>להתערבות</w:t>
      </w:r>
      <w:r w:rsidRPr="0015713E">
        <w:rPr>
          <w:rtl/>
        </w:rPr>
        <w:t xml:space="preserve"> בית המשפט בהתאם לכללי המשפט </w:t>
      </w:r>
      <w:proofErr w:type="spellStart"/>
      <w:r w:rsidRPr="0015713E">
        <w:rPr>
          <w:rFonts w:hint="eastAsia"/>
          <w:rtl/>
        </w:rPr>
        <w:t>המינהלי</w:t>
      </w:r>
      <w:proofErr w:type="spellEnd"/>
      <w:r w:rsidRPr="0015713E">
        <w:rPr>
          <w:rtl/>
        </w:rPr>
        <w:t xml:space="preserve">. </w:t>
      </w:r>
      <w:r w:rsidRPr="0015713E">
        <w:rPr>
          <w:rFonts w:hint="eastAsia"/>
          <w:rtl/>
        </w:rPr>
        <w:t>כל</w:t>
      </w:r>
      <w:r w:rsidRPr="0015713E">
        <w:rPr>
          <w:rtl/>
        </w:rPr>
        <w:t xml:space="preserve"> </w:t>
      </w:r>
      <w:r w:rsidRPr="0015713E">
        <w:rPr>
          <w:rFonts w:hint="eastAsia"/>
          <w:rtl/>
        </w:rPr>
        <w:t>שצוין</w:t>
      </w:r>
      <w:r w:rsidRPr="0015713E">
        <w:rPr>
          <w:rtl/>
        </w:rPr>
        <w:t xml:space="preserve"> </w:t>
      </w:r>
      <w:r>
        <w:rPr>
          <w:rFonts w:hint="cs"/>
          <w:rtl/>
        </w:rPr>
        <w:t xml:space="preserve">בעתירה </w:t>
      </w:r>
      <w:r w:rsidRPr="0015713E">
        <w:rPr>
          <w:rFonts w:hint="eastAsia"/>
          <w:rtl/>
        </w:rPr>
        <w:t>הוא</w:t>
      </w:r>
      <w:r w:rsidRPr="0015713E">
        <w:rPr>
          <w:rtl/>
        </w:rPr>
        <w:t xml:space="preserve"> </w:t>
      </w:r>
      <w:r w:rsidRPr="0015713E">
        <w:rPr>
          <w:rFonts w:hint="eastAsia"/>
          <w:rtl/>
        </w:rPr>
        <w:t>כי</w:t>
      </w:r>
      <w:r w:rsidRPr="0015713E">
        <w:rPr>
          <w:rtl/>
        </w:rPr>
        <w:t xml:space="preserve"> קביעותיה של ה</w:t>
      </w:r>
      <w:r w:rsidRPr="0015713E">
        <w:rPr>
          <w:rFonts w:hint="eastAsia"/>
          <w:rtl/>
        </w:rPr>
        <w:t>יועצת</w:t>
      </w:r>
      <w:r w:rsidRPr="0015713E">
        <w:rPr>
          <w:rtl/>
        </w:rPr>
        <w:t xml:space="preserve"> "</w:t>
      </w:r>
      <w:r w:rsidRPr="00C90C20">
        <w:rPr>
          <w:rFonts w:ascii="Century" w:hAnsi="Century" w:cs="Miriam"/>
          <w:b/>
          <w:spacing w:val="0"/>
          <w:szCs w:val="24"/>
          <w:rtl/>
        </w:rPr>
        <w:t xml:space="preserve">לא </w:t>
      </w:r>
      <w:r w:rsidRPr="00C90C20">
        <w:rPr>
          <w:rFonts w:ascii="Century" w:hAnsi="Century" w:cs="Miriam" w:hint="eastAsia"/>
          <w:b/>
          <w:spacing w:val="0"/>
          <w:szCs w:val="24"/>
          <w:rtl/>
        </w:rPr>
        <w:t>יכולות</w:t>
      </w:r>
      <w:r w:rsidRPr="00C90C20">
        <w:rPr>
          <w:rFonts w:ascii="Century" w:hAnsi="Century" w:cs="Miriam"/>
          <w:b/>
          <w:spacing w:val="0"/>
          <w:szCs w:val="24"/>
          <w:rtl/>
        </w:rPr>
        <w:t xml:space="preserve"> </w:t>
      </w:r>
      <w:r w:rsidRPr="00C90C20">
        <w:rPr>
          <w:rFonts w:ascii="Century" w:hAnsi="Century" w:cs="Miriam" w:hint="eastAsia"/>
          <w:b/>
          <w:spacing w:val="0"/>
          <w:szCs w:val="24"/>
          <w:rtl/>
        </w:rPr>
        <w:t>לעמוד</w:t>
      </w:r>
      <w:r w:rsidRPr="0015713E">
        <w:rPr>
          <w:rtl/>
        </w:rPr>
        <w:t>". שכן</w:t>
      </w:r>
      <w:r>
        <w:rPr>
          <w:rFonts w:hint="cs"/>
          <w:rtl/>
        </w:rPr>
        <w:t>, לשיטתו, "</w:t>
      </w:r>
      <w:r>
        <w:rPr>
          <w:rFonts w:ascii="Century" w:hAnsi="Century" w:cs="Miriam" w:hint="cs"/>
          <w:b/>
          <w:spacing w:val="0"/>
          <w:szCs w:val="24"/>
          <w:rtl/>
        </w:rPr>
        <w:t>מדובר במקרה ייחודי שבו ישנן ראיות ברורות לכך שגורם כלשהו מתוך קבוצה מצומצמת ומוגדרת של עובדי מדינה, הדליף למספר כלי תקשורת חומרים [...]</w:t>
      </w:r>
      <w:r>
        <w:rPr>
          <w:rFonts w:hint="cs"/>
          <w:rtl/>
        </w:rPr>
        <w:t>". דומה כי העותר סבור שהעובדה שמדובר</w:t>
      </w:r>
      <w:r w:rsidR="00E464F1">
        <w:rPr>
          <w:rFonts w:hint="cs"/>
          <w:rtl/>
        </w:rPr>
        <w:t xml:space="preserve"> בקבוצה המוֹנה כ-35 עובדי מדינה</w:t>
      </w:r>
      <w:r>
        <w:rPr>
          <w:rFonts w:hint="cs"/>
          <w:rtl/>
        </w:rPr>
        <w:t xml:space="preserve"> מבססת את מסקנתו באשר לתוחלת החק</w:t>
      </w:r>
      <w:r w:rsidR="00E464F1">
        <w:rPr>
          <w:rFonts w:hint="cs"/>
          <w:rtl/>
        </w:rPr>
        <w:t>ירה, והופכת את מסקנת היועצת לכזאת</w:t>
      </w:r>
      <w:r>
        <w:rPr>
          <w:rFonts w:hint="cs"/>
          <w:rtl/>
        </w:rPr>
        <w:t xml:space="preserve"> ש</w:t>
      </w:r>
      <w:r w:rsidR="00E464F1">
        <w:rPr>
          <w:rFonts w:hint="cs"/>
          <w:rtl/>
        </w:rPr>
        <w:t>אינה יכולה לעמוד</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ברם, גם אם אניח לטובת העותר כי ההדלפה של החשבונית מקורה בגורמי אכיפת החוק </w:t>
      </w:r>
      <w:r>
        <w:rPr>
          <w:rtl/>
        </w:rPr>
        <w:t>–</w:t>
      </w:r>
      <w:r>
        <w:rPr>
          <w:rFonts w:hint="cs"/>
          <w:rtl/>
        </w:rPr>
        <w:t xml:space="preserve"> טענה שיש בה היגיון רב, הן בשים לב לכתב היד שנמצא על גבי העתק החשבונית שפורסם באמצעי התקשורת, הן לנוכח התזמון שבו פורסמו הדברים, שעות ספורות לאחר שהתביעה הודיעה לבית המשפט על סיום החקירה </w:t>
      </w:r>
      <w:r>
        <w:rPr>
          <w:rtl/>
        </w:rPr>
        <w:t>–</w:t>
      </w:r>
      <w:r>
        <w:rPr>
          <w:rFonts w:hint="cs"/>
          <w:rtl/>
        </w:rPr>
        <w:t xml:space="preserve"> הניסיון להיאחז בנתון כמותני דוגמת מספר עובדי הציבור שניתן לחשוד בהם, אין בו כל ממש כשלעצמו. </w:t>
      </w:r>
      <w:r>
        <w:rPr>
          <w:rFonts w:hint="cs"/>
          <w:rtl/>
        </w:rPr>
        <w:lastRenderedPageBreak/>
        <w:t>שכן, היקף הקבוצה הרלוונטית הוא אך נתון אחד, שנבחן ומשוקלל יחד עם נתונים רבים אחרים, והוא לא מנותק מהקשרם של דברים. כפי שהסבירה היועצת בהחלטתה, קיימים מכשולים וחסמים רבים בדרך לאיתור המדליף האלמוני, והסיכוי לאתרו במסגרת חקירה פלילית, אינו נחזה להיות גבוה.</w:t>
      </w:r>
      <w:r w:rsidRPr="00DF5F62">
        <w:rPr>
          <w:rFonts w:hint="cs"/>
          <w:rtl/>
        </w:rPr>
        <w:t xml:space="preserve"> </w:t>
      </w:r>
      <w:r>
        <w:rPr>
          <w:rFonts w:hint="cs"/>
          <w:rtl/>
        </w:rPr>
        <w:t>כמו כן, אל לנו לשכוח, כי לפתיחה בחקירה פלילית יש השלכות משמעותיות על כל אדם (</w:t>
      </w:r>
      <w:r w:rsidRPr="0015713E">
        <w:rPr>
          <w:rFonts w:ascii="Century" w:hAnsi="Century" w:hint="eastAsia"/>
          <w:rtl/>
        </w:rPr>
        <w:t>בג</w:t>
      </w:r>
      <w:r w:rsidRPr="0015713E">
        <w:rPr>
          <w:rFonts w:ascii="Century" w:hAnsi="Century"/>
          <w:rtl/>
        </w:rPr>
        <w:t>"</w:t>
      </w:r>
      <w:r w:rsidRPr="0015713E">
        <w:rPr>
          <w:rFonts w:ascii="Century" w:hAnsi="Century" w:hint="eastAsia"/>
          <w:rtl/>
        </w:rPr>
        <w:t>ץ</w:t>
      </w:r>
      <w:r w:rsidRPr="0015713E">
        <w:rPr>
          <w:rFonts w:ascii="Century" w:hAnsi="Century"/>
          <w:rtl/>
        </w:rPr>
        <w:t xml:space="preserve"> 1685/18 </w:t>
      </w:r>
      <w:r w:rsidRPr="0015713E">
        <w:rPr>
          <w:rFonts w:ascii="Century" w:hAnsi="Century" w:cs="Miriam" w:hint="eastAsia"/>
          <w:b/>
          <w:spacing w:val="0"/>
          <w:szCs w:val="24"/>
          <w:rtl/>
        </w:rPr>
        <w:t>נץ</w:t>
      </w:r>
      <w:r w:rsidRPr="0015713E">
        <w:rPr>
          <w:rFonts w:ascii="Century" w:hAnsi="Century" w:cs="Miriam"/>
          <w:b/>
          <w:spacing w:val="0"/>
          <w:szCs w:val="24"/>
          <w:rtl/>
        </w:rPr>
        <w:t>-</w:t>
      </w:r>
      <w:proofErr w:type="spellStart"/>
      <w:r w:rsidRPr="0015713E">
        <w:rPr>
          <w:rFonts w:ascii="Century" w:hAnsi="Century" w:cs="Miriam" w:hint="eastAsia"/>
          <w:b/>
          <w:spacing w:val="0"/>
          <w:szCs w:val="24"/>
          <w:rtl/>
        </w:rPr>
        <w:t>צנגוט</w:t>
      </w:r>
      <w:proofErr w:type="spellEnd"/>
      <w:r w:rsidRPr="0015713E">
        <w:rPr>
          <w:rFonts w:ascii="Century" w:hAnsi="Century" w:cs="Miriam"/>
          <w:b/>
          <w:spacing w:val="0"/>
          <w:szCs w:val="24"/>
          <w:rtl/>
        </w:rPr>
        <w:t xml:space="preserve"> </w:t>
      </w:r>
      <w:r w:rsidRPr="0015713E">
        <w:rPr>
          <w:rFonts w:ascii="Century" w:hAnsi="Century" w:cs="Miriam" w:hint="eastAsia"/>
          <w:b/>
          <w:spacing w:val="0"/>
          <w:szCs w:val="24"/>
          <w:rtl/>
        </w:rPr>
        <w:t>נ</w:t>
      </w:r>
      <w:r w:rsidRPr="0015713E">
        <w:rPr>
          <w:rFonts w:ascii="Century" w:hAnsi="Century" w:cs="Miriam"/>
          <w:b/>
          <w:spacing w:val="0"/>
          <w:szCs w:val="24"/>
          <w:rtl/>
        </w:rPr>
        <w:t xml:space="preserve">' </w:t>
      </w:r>
      <w:r w:rsidRPr="0015713E">
        <w:rPr>
          <w:rFonts w:ascii="Century" w:hAnsi="Century" w:cs="Miriam" w:hint="eastAsia"/>
          <w:b/>
          <w:spacing w:val="0"/>
          <w:szCs w:val="24"/>
          <w:rtl/>
        </w:rPr>
        <w:t>מפכ</w:t>
      </w:r>
      <w:r w:rsidRPr="0015713E">
        <w:rPr>
          <w:rFonts w:ascii="Century" w:hAnsi="Century" w:cs="Miriam"/>
          <w:b/>
          <w:spacing w:val="0"/>
          <w:szCs w:val="24"/>
          <w:rtl/>
        </w:rPr>
        <w:t>"</w:t>
      </w:r>
      <w:r w:rsidRPr="0015713E">
        <w:rPr>
          <w:rFonts w:ascii="Century" w:hAnsi="Century" w:cs="Miriam" w:hint="eastAsia"/>
          <w:b/>
          <w:spacing w:val="0"/>
          <w:szCs w:val="24"/>
          <w:rtl/>
        </w:rPr>
        <w:t>ל</w:t>
      </w:r>
      <w:r w:rsidRPr="0015713E">
        <w:rPr>
          <w:rFonts w:ascii="Century" w:hAnsi="Century" w:cs="Miriam"/>
          <w:b/>
          <w:spacing w:val="0"/>
          <w:szCs w:val="24"/>
          <w:rtl/>
        </w:rPr>
        <w:t xml:space="preserve"> </w:t>
      </w:r>
      <w:r w:rsidRPr="0015713E">
        <w:rPr>
          <w:rFonts w:ascii="Century" w:hAnsi="Century" w:cs="Miriam" w:hint="eastAsia"/>
          <w:b/>
          <w:spacing w:val="0"/>
          <w:szCs w:val="24"/>
          <w:rtl/>
        </w:rPr>
        <w:t>המשטרה</w:t>
      </w:r>
      <w:r w:rsidRPr="0015713E">
        <w:rPr>
          <w:rFonts w:ascii="Century" w:hAnsi="Century"/>
          <w:rtl/>
        </w:rPr>
        <w:t xml:space="preserve">, </w:t>
      </w:r>
      <w:r w:rsidRPr="0015713E">
        <w:rPr>
          <w:rFonts w:ascii="Century" w:hAnsi="Century" w:hint="eastAsia"/>
          <w:rtl/>
        </w:rPr>
        <w:t>פסקה</w:t>
      </w:r>
      <w:r w:rsidRPr="0015713E">
        <w:rPr>
          <w:rFonts w:ascii="Century" w:hAnsi="Century"/>
          <w:rtl/>
        </w:rPr>
        <w:t xml:space="preserve"> 7 (09.07.2018)), </w:t>
      </w:r>
      <w:r w:rsidRPr="0015713E">
        <w:rPr>
          <w:rFonts w:ascii="Century" w:hAnsi="Century" w:hint="eastAsia"/>
          <w:rtl/>
        </w:rPr>
        <w:t>וכי</w:t>
      </w:r>
      <w:r w:rsidRPr="0015713E">
        <w:rPr>
          <w:rFonts w:ascii="Century" w:hAnsi="Century"/>
          <w:rtl/>
        </w:rPr>
        <w:t xml:space="preserve"> </w:t>
      </w:r>
      <w:r>
        <w:rPr>
          <w:rFonts w:hint="cs"/>
          <w:rtl/>
        </w:rPr>
        <w:t>"</w:t>
      </w:r>
      <w:r w:rsidRPr="00725B48">
        <w:rPr>
          <w:rFonts w:ascii="Century" w:hAnsi="Century" w:cs="Miriam" w:hint="eastAsia"/>
          <w:b/>
          <w:spacing w:val="0"/>
          <w:szCs w:val="24"/>
          <w:rtl/>
        </w:rPr>
        <w:t>חקירה</w:t>
      </w:r>
      <w:r w:rsidRPr="00725B48">
        <w:rPr>
          <w:rFonts w:ascii="Century" w:hAnsi="Century" w:cs="Miriam"/>
          <w:b/>
          <w:spacing w:val="0"/>
          <w:szCs w:val="24"/>
          <w:rtl/>
        </w:rPr>
        <w:t xml:space="preserve"> </w:t>
      </w:r>
      <w:r w:rsidRPr="00725B48">
        <w:rPr>
          <w:rFonts w:ascii="Century" w:hAnsi="Century" w:cs="Miriam" w:hint="eastAsia"/>
          <w:b/>
          <w:spacing w:val="0"/>
          <w:szCs w:val="24"/>
          <w:rtl/>
        </w:rPr>
        <w:t>פלילית</w:t>
      </w:r>
      <w:r w:rsidRPr="00725B48">
        <w:rPr>
          <w:rFonts w:ascii="Century" w:hAnsi="Century" w:cs="Miriam"/>
          <w:b/>
          <w:spacing w:val="0"/>
          <w:szCs w:val="24"/>
          <w:rtl/>
        </w:rPr>
        <w:t xml:space="preserve"> </w:t>
      </w:r>
      <w:r w:rsidRPr="00725B48">
        <w:rPr>
          <w:rFonts w:ascii="Century" w:hAnsi="Century" w:cs="Miriam" w:hint="eastAsia"/>
          <w:b/>
          <w:spacing w:val="0"/>
          <w:szCs w:val="24"/>
          <w:rtl/>
        </w:rPr>
        <w:t>אינה</w:t>
      </w:r>
      <w:r w:rsidRPr="00725B48">
        <w:rPr>
          <w:rFonts w:ascii="Century" w:hAnsi="Century" w:cs="Miriam"/>
          <w:b/>
          <w:spacing w:val="0"/>
          <w:szCs w:val="24"/>
          <w:rtl/>
        </w:rPr>
        <w:t xml:space="preserve"> </w:t>
      </w:r>
      <w:r w:rsidRPr="00725B48">
        <w:rPr>
          <w:rFonts w:ascii="Century" w:hAnsi="Century" w:cs="Miriam" w:hint="eastAsia"/>
          <w:b/>
          <w:spacing w:val="0"/>
          <w:szCs w:val="24"/>
          <w:rtl/>
        </w:rPr>
        <w:t>חכה</w:t>
      </w:r>
      <w:r w:rsidRPr="00725B48">
        <w:rPr>
          <w:rFonts w:ascii="Century" w:hAnsi="Century" w:cs="Miriam"/>
          <w:b/>
          <w:spacing w:val="0"/>
          <w:szCs w:val="24"/>
          <w:rtl/>
        </w:rPr>
        <w:t xml:space="preserve"> </w:t>
      </w:r>
      <w:r w:rsidRPr="00725B48">
        <w:rPr>
          <w:rFonts w:ascii="Century" w:hAnsi="Century" w:cs="Miriam" w:hint="eastAsia"/>
          <w:b/>
          <w:spacing w:val="0"/>
          <w:szCs w:val="24"/>
          <w:rtl/>
        </w:rPr>
        <w:t>שנזרקת</w:t>
      </w:r>
      <w:r w:rsidRPr="00725B48">
        <w:rPr>
          <w:rFonts w:ascii="Century" w:hAnsi="Century" w:cs="Miriam"/>
          <w:b/>
          <w:spacing w:val="0"/>
          <w:szCs w:val="24"/>
          <w:rtl/>
        </w:rPr>
        <w:t xml:space="preserve"> </w:t>
      </w:r>
      <w:r w:rsidRPr="00725B48">
        <w:rPr>
          <w:rFonts w:ascii="Century" w:hAnsi="Century" w:cs="Miriam" w:hint="eastAsia"/>
          <w:b/>
          <w:spacing w:val="0"/>
          <w:szCs w:val="24"/>
          <w:rtl/>
        </w:rPr>
        <w:t>למים</w:t>
      </w:r>
      <w:r w:rsidRPr="00725B48">
        <w:rPr>
          <w:rFonts w:ascii="Century" w:hAnsi="Century" w:cs="Miriam"/>
          <w:b/>
          <w:spacing w:val="0"/>
          <w:szCs w:val="24"/>
          <w:rtl/>
        </w:rPr>
        <w:t xml:space="preserve"> </w:t>
      </w:r>
      <w:r w:rsidRPr="00725B48">
        <w:rPr>
          <w:rFonts w:ascii="Century" w:hAnsi="Century" w:cs="Miriam" w:hint="eastAsia"/>
          <w:b/>
          <w:spacing w:val="0"/>
          <w:szCs w:val="24"/>
          <w:rtl/>
        </w:rPr>
        <w:t>מתוך</w:t>
      </w:r>
      <w:r w:rsidRPr="00725B48">
        <w:rPr>
          <w:rFonts w:ascii="Century" w:hAnsi="Century" w:cs="Miriam"/>
          <w:b/>
          <w:spacing w:val="0"/>
          <w:szCs w:val="24"/>
          <w:rtl/>
        </w:rPr>
        <w:t xml:space="preserve"> </w:t>
      </w:r>
      <w:r w:rsidRPr="00725B48">
        <w:rPr>
          <w:rFonts w:ascii="Century" w:hAnsi="Century" w:cs="Miriam" w:hint="eastAsia"/>
          <w:b/>
          <w:spacing w:val="0"/>
          <w:szCs w:val="24"/>
          <w:rtl/>
        </w:rPr>
        <w:t>תקווה</w:t>
      </w:r>
      <w:r w:rsidRPr="00725B48">
        <w:rPr>
          <w:rFonts w:ascii="Century" w:hAnsi="Century" w:cs="Miriam"/>
          <w:b/>
          <w:spacing w:val="0"/>
          <w:szCs w:val="24"/>
          <w:rtl/>
        </w:rPr>
        <w:t xml:space="preserve"> </w:t>
      </w:r>
      <w:r w:rsidRPr="00725B48">
        <w:rPr>
          <w:rFonts w:ascii="Century" w:hAnsi="Century" w:cs="Miriam" w:hint="eastAsia"/>
          <w:b/>
          <w:spacing w:val="0"/>
          <w:szCs w:val="24"/>
          <w:rtl/>
        </w:rPr>
        <w:t>שדג</w:t>
      </w:r>
      <w:r w:rsidRPr="00725B48">
        <w:rPr>
          <w:rFonts w:ascii="Century" w:hAnsi="Century" w:cs="Miriam"/>
          <w:b/>
          <w:spacing w:val="0"/>
          <w:szCs w:val="24"/>
          <w:rtl/>
        </w:rPr>
        <w:t xml:space="preserve"> </w:t>
      </w:r>
      <w:r w:rsidRPr="00725B48">
        <w:rPr>
          <w:rFonts w:ascii="Century" w:hAnsi="Century" w:cs="Miriam" w:hint="eastAsia"/>
          <w:b/>
          <w:spacing w:val="0"/>
          <w:szCs w:val="24"/>
          <w:rtl/>
        </w:rPr>
        <w:t>יעלה</w:t>
      </w:r>
      <w:r w:rsidRPr="00725B48">
        <w:rPr>
          <w:rFonts w:ascii="Century" w:hAnsi="Century" w:cs="Miriam"/>
          <w:b/>
          <w:spacing w:val="0"/>
          <w:szCs w:val="24"/>
          <w:rtl/>
        </w:rPr>
        <w:t xml:space="preserve"> </w:t>
      </w:r>
      <w:r w:rsidRPr="00725B48">
        <w:rPr>
          <w:rFonts w:ascii="Century" w:hAnsi="Century" w:cs="Miriam" w:hint="eastAsia"/>
          <w:b/>
          <w:spacing w:val="0"/>
          <w:szCs w:val="24"/>
          <w:rtl/>
        </w:rPr>
        <w:t>בקרס</w:t>
      </w:r>
      <w:r w:rsidRPr="00725B48">
        <w:rPr>
          <w:rFonts w:ascii="Century" w:hAnsi="Century" w:cs="Miriam"/>
          <w:b/>
          <w:spacing w:val="0"/>
          <w:szCs w:val="24"/>
          <w:rtl/>
        </w:rPr>
        <w:t xml:space="preserve"> </w:t>
      </w:r>
      <w:r w:rsidRPr="00725B48">
        <w:rPr>
          <w:rFonts w:ascii="Century" w:hAnsi="Century" w:cs="Miriam" w:hint="eastAsia"/>
          <w:b/>
          <w:spacing w:val="0"/>
          <w:szCs w:val="24"/>
          <w:rtl/>
        </w:rPr>
        <w:t>בבחינת</w:t>
      </w:r>
      <w:r w:rsidRPr="00725B48">
        <w:rPr>
          <w:rFonts w:ascii="Century" w:hAnsi="Century" w:cs="Miriam"/>
          <w:b/>
          <w:spacing w:val="0"/>
          <w:szCs w:val="24"/>
          <w:rtl/>
        </w:rPr>
        <w:t xml:space="preserve"> 'קודם </w:t>
      </w:r>
      <w:r w:rsidRPr="00725B48">
        <w:rPr>
          <w:rFonts w:ascii="Century" w:hAnsi="Century" w:cs="Miriam" w:hint="eastAsia"/>
          <w:b/>
          <w:spacing w:val="0"/>
          <w:szCs w:val="24"/>
          <w:rtl/>
        </w:rPr>
        <w:t>נחקור</w:t>
      </w:r>
      <w:r w:rsidRPr="00725B48">
        <w:rPr>
          <w:rFonts w:ascii="Century" w:hAnsi="Century" w:cs="Miriam"/>
          <w:b/>
          <w:spacing w:val="0"/>
          <w:szCs w:val="24"/>
          <w:rtl/>
        </w:rPr>
        <w:t xml:space="preserve"> </w:t>
      </w:r>
      <w:r w:rsidRPr="00725B48">
        <w:rPr>
          <w:rFonts w:ascii="Century" w:hAnsi="Century" w:cs="Miriam" w:hint="eastAsia"/>
          <w:b/>
          <w:spacing w:val="0"/>
          <w:szCs w:val="24"/>
          <w:rtl/>
        </w:rPr>
        <w:t>ואחר</w:t>
      </w:r>
      <w:r w:rsidRPr="00725B48">
        <w:rPr>
          <w:rFonts w:ascii="Century" w:hAnsi="Century" w:cs="Miriam"/>
          <w:b/>
          <w:spacing w:val="0"/>
          <w:szCs w:val="24"/>
          <w:rtl/>
        </w:rPr>
        <w:t xml:space="preserve"> </w:t>
      </w:r>
      <w:r w:rsidRPr="00725B48">
        <w:rPr>
          <w:rFonts w:ascii="Century" w:hAnsi="Century" w:cs="Miriam" w:hint="eastAsia"/>
          <w:b/>
          <w:spacing w:val="0"/>
          <w:szCs w:val="24"/>
          <w:rtl/>
        </w:rPr>
        <w:t>כך</w:t>
      </w:r>
      <w:r w:rsidRPr="00725B48">
        <w:rPr>
          <w:rFonts w:ascii="Century" w:hAnsi="Century" w:cs="Miriam"/>
          <w:b/>
          <w:spacing w:val="0"/>
          <w:szCs w:val="24"/>
          <w:rtl/>
        </w:rPr>
        <w:t xml:space="preserve"> </w:t>
      </w:r>
      <w:r w:rsidRPr="00725B48">
        <w:rPr>
          <w:rFonts w:ascii="Century" w:hAnsi="Century" w:cs="Miriam" w:hint="eastAsia"/>
          <w:b/>
          <w:spacing w:val="0"/>
          <w:szCs w:val="24"/>
          <w:rtl/>
        </w:rPr>
        <w:t>נראה</w:t>
      </w:r>
      <w:r w:rsidRPr="00725B48">
        <w:rPr>
          <w:rFonts w:ascii="Century" w:hAnsi="Century" w:cs="Miriam"/>
          <w:b/>
          <w:spacing w:val="0"/>
          <w:szCs w:val="24"/>
          <w:rtl/>
        </w:rPr>
        <w:t xml:space="preserve"> </w:t>
      </w:r>
      <w:r w:rsidRPr="00725B48">
        <w:rPr>
          <w:rFonts w:ascii="Century" w:hAnsi="Century" w:cs="Miriam" w:hint="eastAsia"/>
          <w:b/>
          <w:spacing w:val="0"/>
          <w:szCs w:val="24"/>
          <w:rtl/>
        </w:rPr>
        <w:t>מה</w:t>
      </w:r>
      <w:r w:rsidRPr="00725B48">
        <w:rPr>
          <w:rFonts w:ascii="Century" w:hAnsi="Century" w:cs="Miriam"/>
          <w:b/>
          <w:spacing w:val="0"/>
          <w:szCs w:val="24"/>
          <w:rtl/>
        </w:rPr>
        <w:t xml:space="preserve"> </w:t>
      </w:r>
      <w:r w:rsidRPr="00725B48">
        <w:rPr>
          <w:rFonts w:ascii="Century" w:hAnsi="Century" w:cs="Miriam" w:hint="eastAsia"/>
          <w:b/>
          <w:spacing w:val="0"/>
          <w:szCs w:val="24"/>
          <w:rtl/>
        </w:rPr>
        <w:t>יעלה</w:t>
      </w:r>
      <w:r w:rsidRPr="00725B48">
        <w:rPr>
          <w:rFonts w:ascii="Century" w:hAnsi="Century" w:cs="Miriam"/>
          <w:b/>
          <w:spacing w:val="0"/>
          <w:szCs w:val="24"/>
          <w:rtl/>
        </w:rPr>
        <w:t xml:space="preserve"> </w:t>
      </w:r>
      <w:r w:rsidRPr="00725B48">
        <w:rPr>
          <w:rFonts w:ascii="Century" w:hAnsi="Century" w:cs="Miriam" w:hint="eastAsia"/>
          <w:b/>
          <w:spacing w:val="0"/>
          <w:szCs w:val="24"/>
          <w:rtl/>
        </w:rPr>
        <w:t>בחכה</w:t>
      </w:r>
      <w:r w:rsidRPr="00725B48">
        <w:rPr>
          <w:rFonts w:ascii="Century" w:hAnsi="Century" w:cs="Miriam"/>
          <w:b/>
          <w:spacing w:val="0"/>
          <w:szCs w:val="24"/>
          <w:rtl/>
        </w:rPr>
        <w:t>'</w:t>
      </w:r>
      <w:r>
        <w:rPr>
          <w:rFonts w:hint="cs"/>
          <w:rtl/>
        </w:rPr>
        <w:t>" (</w:t>
      </w:r>
      <w:r w:rsidRPr="0015713E">
        <w:rPr>
          <w:rFonts w:ascii="Century" w:hAnsi="Century" w:hint="eastAsia"/>
          <w:rtl/>
        </w:rPr>
        <w:t>עניין</w:t>
      </w:r>
      <w:r w:rsidRPr="0015713E">
        <w:rPr>
          <w:rFonts w:ascii="Century" w:hAnsi="Century" w:cs="Miriam"/>
          <w:b/>
          <w:spacing w:val="0"/>
          <w:szCs w:val="24"/>
          <w:rtl/>
        </w:rPr>
        <w:t xml:space="preserve"> </w:t>
      </w:r>
      <w:r w:rsidRPr="0015713E">
        <w:rPr>
          <w:rFonts w:ascii="Century" w:hAnsi="Century" w:cs="Miriam" w:hint="eastAsia"/>
          <w:b/>
          <w:spacing w:val="0"/>
          <w:szCs w:val="24"/>
          <w:rtl/>
        </w:rPr>
        <w:t>התנועה</w:t>
      </w:r>
      <w:r w:rsidRPr="0015713E">
        <w:rPr>
          <w:rFonts w:ascii="Century" w:hAnsi="Century" w:cs="Miriam"/>
          <w:b/>
          <w:spacing w:val="0"/>
          <w:szCs w:val="24"/>
          <w:rtl/>
        </w:rPr>
        <w:t xml:space="preserve"> </w:t>
      </w:r>
      <w:r w:rsidRPr="0015713E">
        <w:rPr>
          <w:rFonts w:ascii="Century" w:hAnsi="Century" w:cs="Miriam" w:hint="eastAsia"/>
          <w:b/>
          <w:spacing w:val="0"/>
          <w:szCs w:val="24"/>
          <w:rtl/>
        </w:rPr>
        <w:t>למען</w:t>
      </w:r>
      <w:r w:rsidRPr="0015713E">
        <w:rPr>
          <w:rFonts w:ascii="Century" w:hAnsi="Century" w:cs="Miriam"/>
          <w:b/>
          <w:spacing w:val="0"/>
          <w:szCs w:val="24"/>
          <w:rtl/>
        </w:rPr>
        <w:t xml:space="preserve"> </w:t>
      </w:r>
      <w:r w:rsidRPr="0015713E">
        <w:rPr>
          <w:rFonts w:ascii="Century" w:hAnsi="Century" w:cs="Miriam" w:hint="eastAsia"/>
          <w:b/>
          <w:spacing w:val="0"/>
          <w:szCs w:val="24"/>
          <w:rtl/>
        </w:rPr>
        <w:t>איכות</w:t>
      </w:r>
      <w:r w:rsidRPr="0015713E">
        <w:rPr>
          <w:rFonts w:ascii="Century" w:hAnsi="Century" w:cs="Miriam"/>
          <w:b/>
          <w:spacing w:val="0"/>
          <w:szCs w:val="24"/>
          <w:rtl/>
        </w:rPr>
        <w:t xml:space="preserve"> </w:t>
      </w:r>
      <w:r w:rsidRPr="0015713E">
        <w:rPr>
          <w:rFonts w:ascii="Century" w:hAnsi="Century" w:cs="Miriam" w:hint="eastAsia"/>
          <w:b/>
          <w:spacing w:val="0"/>
          <w:szCs w:val="24"/>
          <w:rtl/>
        </w:rPr>
        <w:t>השלטון</w:t>
      </w:r>
      <w:r>
        <w:rPr>
          <w:rFonts w:hint="cs"/>
          <w:rtl/>
        </w:rPr>
        <w:t>, פסקה 69).</w:t>
      </w:r>
      <w:r w:rsidRPr="00F3520E">
        <w:rPr>
          <w:rFonts w:hint="cs"/>
          <w:rtl/>
        </w:rPr>
        <w:t xml:space="preserve"> </w:t>
      </w:r>
      <w:r>
        <w:rPr>
          <w:rFonts w:hint="cs"/>
          <w:rtl/>
        </w:rPr>
        <w:t>לא למותר להזכיר, כי בנוסף לכך</w:t>
      </w:r>
      <w:r w:rsidRPr="002B5D3C">
        <w:rPr>
          <w:rFonts w:hint="cs"/>
          <w:rtl/>
        </w:rPr>
        <w:t xml:space="preserve"> </w:t>
      </w:r>
      <w:r>
        <w:rPr>
          <w:rFonts w:hint="cs"/>
          <w:rtl/>
        </w:rPr>
        <w:t>הבהירה היועצת ש</w:t>
      </w:r>
      <w:r w:rsidRPr="002B5D3C">
        <w:rPr>
          <w:rFonts w:hint="cs"/>
          <w:rtl/>
        </w:rPr>
        <w:t xml:space="preserve">החלטתה </w:t>
      </w:r>
      <w:r>
        <w:rPr>
          <w:rFonts w:hint="cs"/>
          <w:rtl/>
        </w:rPr>
        <w:t>אינה</w:t>
      </w:r>
      <w:r w:rsidRPr="002B5D3C">
        <w:rPr>
          <w:rFonts w:hint="cs"/>
          <w:rtl/>
        </w:rPr>
        <w:t xml:space="preserve"> פורשת את מלוא התמונה העובדתית</w:t>
      </w:r>
      <w:r>
        <w:rPr>
          <w:rFonts w:hint="cs"/>
          <w:rtl/>
        </w:rPr>
        <w:t>,</w:t>
      </w:r>
      <w:r w:rsidRPr="002B5D3C">
        <w:rPr>
          <w:rFonts w:hint="cs"/>
          <w:rtl/>
        </w:rPr>
        <w:t xml:space="preserve"> </w:t>
      </w:r>
      <w:r>
        <w:rPr>
          <w:rFonts w:hint="cs"/>
          <w:rtl/>
        </w:rPr>
        <w:t>משום שההליך העיקרי עודנו</w:t>
      </w:r>
      <w:r w:rsidRPr="002B5D3C">
        <w:rPr>
          <w:rFonts w:hint="cs"/>
          <w:rtl/>
        </w:rPr>
        <w:t xml:space="preserve"> מתנהל</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לדידי, לאור כל אלה, העותר לא עמד בנטל הכבד שהיה מונח לפתחו לבסס עילה מוצקה להתערבות שיפוטית בהחלטת היועצת כמבוקש על-ידו.</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בצד האמור אבקש להעיר, דווקא בקשר עם תוחלת החקירה וסיכוייה </w:t>
      </w:r>
      <w:r>
        <w:rPr>
          <w:rtl/>
        </w:rPr>
        <w:t>–</w:t>
      </w:r>
      <w:r>
        <w:rPr>
          <w:rFonts w:hint="cs"/>
          <w:rtl/>
        </w:rPr>
        <w:t xml:space="preserve"> כי במישור הזמן, שהוא גורם משמעותי בשיקול זה, התנהלות מערכת אכיפת החוק בענייננו רחוקה מלהיות משביעת רצון. שכן, ההחלטה שלא לפתוח בחקירה פלילית ניתנה רק בחלוף כשנה וחודשיים (!) מעת פנייתו הראשונה של העותר; ולא מן הנמנע כי פעולה מהירה, בזמן אמת, הייתה יכולה להקל על איתור הגורם שהדליף את המידע האסור בגילוי. חזקה על הנוגעים בדבר, ובפרט הגורם המקצועי שגויס לשם גיבוש המלצות לפתרון צופה פני עתיד, שיתנו דעתם לדברים אלו. כפי שהעירה השופטת </w:t>
      </w:r>
      <w:r w:rsidRPr="00DF5F62">
        <w:rPr>
          <w:rFonts w:ascii="Century" w:hAnsi="Century" w:cs="Miriam" w:hint="eastAsia"/>
          <w:b/>
          <w:spacing w:val="0"/>
          <w:szCs w:val="24"/>
          <w:rtl/>
        </w:rPr>
        <w:t>א</w:t>
      </w:r>
      <w:r w:rsidRPr="00DF5F62">
        <w:rPr>
          <w:rFonts w:ascii="Century" w:hAnsi="Century" w:cs="Miriam"/>
          <w:b/>
          <w:spacing w:val="0"/>
          <w:szCs w:val="24"/>
          <w:rtl/>
        </w:rPr>
        <w:t xml:space="preserve">' </w:t>
      </w:r>
      <w:r w:rsidRPr="00DF5F62">
        <w:rPr>
          <w:rFonts w:ascii="Century" w:hAnsi="Century" w:cs="Miriam" w:hint="eastAsia"/>
          <w:b/>
          <w:spacing w:val="0"/>
          <w:szCs w:val="24"/>
          <w:rtl/>
        </w:rPr>
        <w:t>חיות</w:t>
      </w:r>
      <w:r w:rsidRPr="00DE3A44">
        <w:rPr>
          <w:rtl/>
        </w:rPr>
        <w:t xml:space="preserve"> </w:t>
      </w:r>
      <w:r>
        <w:rPr>
          <w:rFonts w:hint="cs"/>
          <w:rtl/>
        </w:rPr>
        <w:t xml:space="preserve">בעניין </w:t>
      </w:r>
      <w:r w:rsidRPr="00DF5F62">
        <w:rPr>
          <w:rFonts w:ascii="Century" w:hAnsi="Century" w:cs="Miriam" w:hint="eastAsia"/>
          <w:b/>
          <w:spacing w:val="0"/>
          <w:szCs w:val="24"/>
          <w:rtl/>
        </w:rPr>
        <w:t>ליברמן</w:t>
      </w:r>
      <w:r>
        <w:rPr>
          <w:rFonts w:hint="cs"/>
          <w:rtl/>
        </w:rPr>
        <w:t>: "</w:t>
      </w:r>
      <w:r w:rsidRPr="00DF5F62">
        <w:rPr>
          <w:rFonts w:ascii="Century" w:hAnsi="Century" w:cs="Miriam"/>
          <w:b/>
          <w:spacing w:val="0"/>
          <w:szCs w:val="24"/>
          <w:rtl/>
        </w:rPr>
        <w:t>בעניינים אלה מוטב 'להכות בברזל בעודו חם' ולמצות את אפשרויות הבירור והבדיקה ככל הניתן מיד עם היוודע דבר ההדלפה</w:t>
      </w:r>
      <w:r>
        <w:rPr>
          <w:rFonts w:hint="cs"/>
          <w:rtl/>
        </w:rPr>
        <w:t>".</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היבט נוסף של חלוף הזמן כרוך בהשתלשלות העניינים בבית משפט זה. כך, העתירה הראשונה הוגשה בחודש יוני 2022, למעלה משישה חודשים לאחר שהעותר פנה לראשונה בבקשה לפתיחה בחקירה פלילית, במהלכם לא זכה להתייחסות לגופו של עניין. גם לאחר שהוגשה העתירה הראשונה, לא התקבלה החלטה לגופו של עניין ולא הוגשה תגובה מקדמית לעתירה במשך כשבעה חודשים, במהלכם הוגשו שבע בקשות למתן ארכה; לרבות לאחר שהעתירה הראשונה נקבעה לדיון בפני הרכב, תוך קביעת מועד להגשת התגובה. למעשה, ההחלטה התקבלה רק כשבוע עובר למועד הדיון שנקבע ורק אז הוגשה תגובה מקדמית תמציתית לעתירה הראשונה, ובשלב זה נדרשה עתירה מתוקנת, תגובה מקדמית נוספת וקיום ישיבה נוספת במעמד הצדדים לשם השלמת טיעון. </w:t>
      </w:r>
    </w:p>
    <w:p w:rsidR="00DB6151" w:rsidRPr="00472291" w:rsidRDefault="00DB6151" w:rsidP="00F10301">
      <w:pPr>
        <w:pStyle w:val="Ruller41"/>
        <w:keepNext/>
        <w:overflowPunct/>
        <w:autoSpaceDE/>
        <w:autoSpaceDN/>
        <w:adjustRightInd/>
        <w:spacing w:before="240" w:after="240"/>
        <w:textAlignment w:val="auto"/>
        <w:rPr>
          <w:rFonts w:ascii="Century" w:hAnsi="Century" w:cs="Miriam"/>
          <w:b/>
          <w:spacing w:val="0"/>
          <w:szCs w:val="24"/>
        </w:rPr>
      </w:pPr>
      <w:r w:rsidRPr="00472291">
        <w:rPr>
          <w:rFonts w:ascii="Century" w:hAnsi="Century" w:cs="Miriam" w:hint="eastAsia"/>
          <w:b/>
          <w:spacing w:val="0"/>
          <w:szCs w:val="24"/>
          <w:rtl/>
        </w:rPr>
        <w:lastRenderedPageBreak/>
        <w:t>ג</w:t>
      </w:r>
      <w:r w:rsidRPr="00472291">
        <w:rPr>
          <w:rFonts w:ascii="Century" w:hAnsi="Century" w:cs="Miriam"/>
          <w:b/>
          <w:spacing w:val="0"/>
          <w:szCs w:val="24"/>
          <w:rtl/>
        </w:rPr>
        <w:t>.2.ג</w:t>
      </w:r>
      <w:r>
        <w:rPr>
          <w:rFonts w:ascii="Century" w:hAnsi="Century" w:cs="Miriam" w:hint="cs"/>
          <w:b/>
          <w:spacing w:val="0"/>
          <w:szCs w:val="24"/>
          <w:rtl/>
        </w:rPr>
        <w:t xml:space="preserve"> הטענה בדבר ניגוד עניינים</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למען שלמות התמונה, מצאתי להתייחס גם לטענה שהעלה בא-כוח העותר בדיון שקיימנו בעתירה המתוקנת, בדבר "</w:t>
      </w:r>
      <w:r w:rsidRPr="00472291">
        <w:rPr>
          <w:rFonts w:ascii="Century" w:hAnsi="Century" w:cs="Miriam" w:hint="eastAsia"/>
          <w:b/>
          <w:spacing w:val="0"/>
          <w:szCs w:val="24"/>
          <w:rtl/>
        </w:rPr>
        <w:t>ניגוד</w:t>
      </w:r>
      <w:r w:rsidRPr="00472291">
        <w:rPr>
          <w:rFonts w:ascii="Century" w:hAnsi="Century" w:cs="Miriam"/>
          <w:b/>
          <w:spacing w:val="0"/>
          <w:szCs w:val="24"/>
          <w:rtl/>
        </w:rPr>
        <w:t xml:space="preserve"> </w:t>
      </w:r>
      <w:r w:rsidRPr="00472291">
        <w:rPr>
          <w:rFonts w:ascii="Century" w:hAnsi="Century" w:cs="Miriam" w:hint="eastAsia"/>
          <w:b/>
          <w:spacing w:val="0"/>
          <w:szCs w:val="24"/>
          <w:rtl/>
        </w:rPr>
        <w:t>עניינים</w:t>
      </w:r>
      <w:r w:rsidRPr="00472291">
        <w:rPr>
          <w:rFonts w:ascii="Century" w:hAnsi="Century" w:cs="Miriam"/>
          <w:b/>
          <w:spacing w:val="0"/>
          <w:szCs w:val="24"/>
          <w:rtl/>
        </w:rPr>
        <w:t xml:space="preserve"> </w:t>
      </w:r>
      <w:r w:rsidRPr="00472291">
        <w:rPr>
          <w:rFonts w:ascii="Century" w:hAnsi="Century" w:cs="Miriam" w:hint="eastAsia"/>
          <w:b/>
          <w:spacing w:val="0"/>
          <w:szCs w:val="24"/>
          <w:rtl/>
        </w:rPr>
        <w:t>מוסדי</w:t>
      </w:r>
      <w:r>
        <w:rPr>
          <w:rFonts w:hint="cs"/>
          <w:rtl/>
        </w:rPr>
        <w:t xml:space="preserve">" המצדיק, כך לשיטתו, ביקורת שיפוטית הדוקה יותר על רשויות התביעה בכל הנוגע לחקירות של מסירת מידע האסור בגילוי. טענה זו נטענה בעלמא במהלך הדיון, ולא מצאתי כי העותר ביסס טענה כלשהי לניגוד עניינים מוסדי, כאשר לא נטען כי ההדלפה נעשתה מתוקף תפקידו של עובד ציבור כלשהו (ראו למשל: בג"ץ 1893/23 </w:t>
      </w:r>
      <w:r w:rsidRPr="00635A4B">
        <w:rPr>
          <w:rFonts w:ascii="Century" w:hAnsi="Century" w:cs="Miriam" w:hint="cs"/>
          <w:b/>
          <w:spacing w:val="0"/>
          <w:szCs w:val="24"/>
          <w:rtl/>
        </w:rPr>
        <w:t>ארגון לביא נ' היועצת המשפטית לממשלה</w:t>
      </w:r>
      <w:r>
        <w:rPr>
          <w:rFonts w:hint="cs"/>
          <w:rtl/>
        </w:rPr>
        <w:t xml:space="preserve">, פסקה 3 (22.03.2023)). לעומת זאת, ככל שהכוונה הייתה כי קיים חשש לניגוד עניינים אישי </w:t>
      </w:r>
      <w:r>
        <w:rPr>
          <w:rtl/>
        </w:rPr>
        <w:t>–</w:t>
      </w:r>
      <w:r>
        <w:rPr>
          <w:rFonts w:hint="cs"/>
          <w:rtl/>
        </w:rPr>
        <w:t xml:space="preserve"> בוודאי שאין בנמצא, אף לא בדוחק, ממצא כלשהו שיהא בו כדי לבסס ראשית טענה בדבר חשש כזה (</w:t>
      </w:r>
      <w:r w:rsidRPr="00506D43">
        <w:rPr>
          <w:rFonts w:hint="eastAsia"/>
          <w:rtl/>
        </w:rPr>
        <w:t>בג</w:t>
      </w:r>
      <w:r w:rsidRPr="00506D43">
        <w:rPr>
          <w:rtl/>
        </w:rPr>
        <w:t>"</w:t>
      </w:r>
      <w:r w:rsidRPr="00506D43">
        <w:rPr>
          <w:rFonts w:hint="eastAsia"/>
          <w:rtl/>
        </w:rPr>
        <w:t>ץ</w:t>
      </w:r>
      <w:r w:rsidRPr="00506D43">
        <w:rPr>
          <w:rtl/>
        </w:rPr>
        <w:t xml:space="preserve"> 43/16 </w:t>
      </w:r>
      <w:r w:rsidRPr="00413DA0">
        <w:rPr>
          <w:rFonts w:ascii="Century" w:hAnsi="Century" w:cs="Miriam" w:hint="eastAsia"/>
          <w:b/>
          <w:spacing w:val="0"/>
          <w:szCs w:val="24"/>
          <w:rtl/>
        </w:rPr>
        <w:t>תנועת</w:t>
      </w:r>
      <w:r w:rsidRPr="00413DA0">
        <w:rPr>
          <w:rFonts w:ascii="Century" w:hAnsi="Century" w:cs="Miriam"/>
          <w:b/>
          <w:spacing w:val="0"/>
          <w:szCs w:val="24"/>
          <w:rtl/>
        </w:rPr>
        <w:t xml:space="preserve"> </w:t>
      </w:r>
      <w:proofErr w:type="spellStart"/>
      <w:r w:rsidRPr="00413DA0">
        <w:rPr>
          <w:rFonts w:ascii="Century" w:hAnsi="Century" w:cs="Miriam" w:hint="eastAsia"/>
          <w:b/>
          <w:spacing w:val="0"/>
          <w:szCs w:val="24"/>
          <w:rtl/>
        </w:rPr>
        <w:t>אומ</w:t>
      </w:r>
      <w:r w:rsidRPr="00413DA0">
        <w:rPr>
          <w:rFonts w:ascii="Century" w:hAnsi="Century" w:cs="Miriam"/>
          <w:b/>
          <w:spacing w:val="0"/>
          <w:szCs w:val="24"/>
          <w:rtl/>
        </w:rPr>
        <w:t>"</w:t>
      </w:r>
      <w:r w:rsidRPr="00413DA0">
        <w:rPr>
          <w:rFonts w:ascii="Century" w:hAnsi="Century" w:cs="Miriam" w:hint="eastAsia"/>
          <w:b/>
          <w:spacing w:val="0"/>
          <w:szCs w:val="24"/>
          <w:rtl/>
        </w:rPr>
        <w:t>ץ</w:t>
      </w:r>
      <w:proofErr w:type="spellEnd"/>
      <w:r w:rsidRPr="00413DA0">
        <w:rPr>
          <w:rFonts w:ascii="Century" w:hAnsi="Century" w:cs="Miriam"/>
          <w:b/>
          <w:spacing w:val="0"/>
          <w:szCs w:val="24"/>
          <w:rtl/>
        </w:rPr>
        <w:t xml:space="preserve"> </w:t>
      </w:r>
      <w:r w:rsidRPr="00413DA0">
        <w:rPr>
          <w:rFonts w:ascii="Century" w:hAnsi="Century" w:cs="Miriam" w:hint="eastAsia"/>
          <w:b/>
          <w:spacing w:val="0"/>
          <w:szCs w:val="24"/>
          <w:rtl/>
        </w:rPr>
        <w:t>אזרחים</w:t>
      </w:r>
      <w:r w:rsidRPr="00413DA0">
        <w:rPr>
          <w:rFonts w:ascii="Century" w:hAnsi="Century" w:cs="Miriam"/>
          <w:b/>
          <w:spacing w:val="0"/>
          <w:szCs w:val="24"/>
          <w:rtl/>
        </w:rPr>
        <w:t xml:space="preserve"> </w:t>
      </w:r>
      <w:r w:rsidRPr="00413DA0">
        <w:rPr>
          <w:rFonts w:ascii="Century" w:hAnsi="Century" w:cs="Miriam" w:hint="eastAsia"/>
          <w:b/>
          <w:spacing w:val="0"/>
          <w:szCs w:val="24"/>
          <w:rtl/>
        </w:rPr>
        <w:t>למען</w:t>
      </w:r>
      <w:r w:rsidRPr="00413DA0">
        <w:rPr>
          <w:rFonts w:ascii="Century" w:hAnsi="Century" w:cs="Miriam"/>
          <w:b/>
          <w:spacing w:val="0"/>
          <w:szCs w:val="24"/>
          <w:rtl/>
        </w:rPr>
        <w:t xml:space="preserve"> </w:t>
      </w:r>
      <w:proofErr w:type="spellStart"/>
      <w:r w:rsidRPr="00413DA0">
        <w:rPr>
          <w:rFonts w:ascii="Century" w:hAnsi="Century" w:cs="Miriam" w:hint="eastAsia"/>
          <w:b/>
          <w:spacing w:val="0"/>
          <w:szCs w:val="24"/>
          <w:rtl/>
        </w:rPr>
        <w:t>מינהל</w:t>
      </w:r>
      <w:proofErr w:type="spellEnd"/>
      <w:r w:rsidRPr="00413DA0">
        <w:rPr>
          <w:rFonts w:ascii="Century" w:hAnsi="Century" w:cs="Miriam"/>
          <w:b/>
          <w:spacing w:val="0"/>
          <w:szCs w:val="24"/>
          <w:rtl/>
        </w:rPr>
        <w:t xml:space="preserve"> </w:t>
      </w:r>
      <w:r w:rsidRPr="00413DA0">
        <w:rPr>
          <w:rFonts w:ascii="Century" w:hAnsi="Century" w:cs="Miriam" w:hint="eastAsia"/>
          <w:b/>
          <w:spacing w:val="0"/>
          <w:szCs w:val="24"/>
          <w:rtl/>
        </w:rPr>
        <w:t>תקין</w:t>
      </w:r>
      <w:r w:rsidRPr="00413DA0">
        <w:rPr>
          <w:rFonts w:ascii="Century" w:hAnsi="Century" w:cs="Miriam"/>
          <w:b/>
          <w:spacing w:val="0"/>
          <w:szCs w:val="24"/>
          <w:rtl/>
        </w:rPr>
        <w:t xml:space="preserve"> </w:t>
      </w:r>
      <w:r w:rsidRPr="00413DA0">
        <w:rPr>
          <w:rFonts w:ascii="Century" w:hAnsi="Century" w:cs="Miriam" w:hint="eastAsia"/>
          <w:b/>
          <w:spacing w:val="0"/>
          <w:szCs w:val="24"/>
          <w:rtl/>
        </w:rPr>
        <w:t>וצדק</w:t>
      </w:r>
      <w:r w:rsidRPr="00413DA0">
        <w:rPr>
          <w:rFonts w:ascii="Century" w:hAnsi="Century" w:cs="Miriam"/>
          <w:b/>
          <w:spacing w:val="0"/>
          <w:szCs w:val="24"/>
          <w:rtl/>
        </w:rPr>
        <w:t xml:space="preserve"> </w:t>
      </w:r>
      <w:r w:rsidRPr="00413DA0">
        <w:rPr>
          <w:rFonts w:ascii="Century" w:hAnsi="Century" w:cs="Miriam" w:hint="eastAsia"/>
          <w:b/>
          <w:spacing w:val="0"/>
          <w:szCs w:val="24"/>
          <w:rtl/>
        </w:rPr>
        <w:t>חברתי</w:t>
      </w:r>
      <w:r w:rsidRPr="00413DA0">
        <w:rPr>
          <w:rFonts w:ascii="Century" w:hAnsi="Century" w:cs="Miriam"/>
          <w:b/>
          <w:spacing w:val="0"/>
          <w:szCs w:val="24"/>
          <w:rtl/>
        </w:rPr>
        <w:t xml:space="preserve"> </w:t>
      </w:r>
      <w:r w:rsidRPr="00413DA0">
        <w:rPr>
          <w:rFonts w:ascii="Century" w:hAnsi="Century" w:cs="Miriam" w:hint="eastAsia"/>
          <w:b/>
          <w:spacing w:val="0"/>
          <w:szCs w:val="24"/>
          <w:rtl/>
        </w:rPr>
        <w:t>ומשפטי</w:t>
      </w:r>
      <w:r w:rsidRPr="00413DA0">
        <w:rPr>
          <w:rFonts w:ascii="Century" w:hAnsi="Century" w:cs="Miriam"/>
          <w:b/>
          <w:spacing w:val="0"/>
          <w:szCs w:val="24"/>
          <w:rtl/>
        </w:rPr>
        <w:t xml:space="preserve"> </w:t>
      </w:r>
      <w:r w:rsidRPr="00413DA0">
        <w:rPr>
          <w:rFonts w:ascii="Century" w:hAnsi="Century" w:cs="Miriam" w:hint="eastAsia"/>
          <w:b/>
          <w:spacing w:val="0"/>
          <w:szCs w:val="24"/>
          <w:rtl/>
        </w:rPr>
        <w:t>נ</w:t>
      </w:r>
      <w:r w:rsidRPr="00413DA0">
        <w:rPr>
          <w:rFonts w:ascii="Century" w:hAnsi="Century" w:cs="Miriam"/>
          <w:b/>
          <w:spacing w:val="0"/>
          <w:szCs w:val="24"/>
          <w:rtl/>
        </w:rPr>
        <w:t xml:space="preserve">' </w:t>
      </w:r>
      <w:r w:rsidRPr="00413DA0">
        <w:rPr>
          <w:rFonts w:ascii="Century" w:hAnsi="Century" w:cs="Miriam" w:hint="eastAsia"/>
          <w:b/>
          <w:spacing w:val="0"/>
          <w:szCs w:val="24"/>
          <w:rtl/>
        </w:rPr>
        <w:t>ממשלת</w:t>
      </w:r>
      <w:r w:rsidRPr="00413DA0">
        <w:rPr>
          <w:rFonts w:ascii="Century" w:hAnsi="Century" w:cs="Miriam"/>
          <w:b/>
          <w:spacing w:val="0"/>
          <w:szCs w:val="24"/>
          <w:rtl/>
        </w:rPr>
        <w:t xml:space="preserve"> </w:t>
      </w:r>
      <w:r w:rsidRPr="00413DA0">
        <w:rPr>
          <w:rFonts w:ascii="Century" w:hAnsi="Century" w:cs="Miriam" w:hint="eastAsia"/>
          <w:b/>
          <w:spacing w:val="0"/>
          <w:szCs w:val="24"/>
          <w:rtl/>
        </w:rPr>
        <w:t>ישראל</w:t>
      </w:r>
      <w:r>
        <w:rPr>
          <w:rFonts w:hint="cs"/>
          <w:rtl/>
        </w:rPr>
        <w:t>, פסקה 79</w:t>
      </w:r>
      <w:r w:rsidRPr="00506D43">
        <w:rPr>
          <w:rtl/>
        </w:rPr>
        <w:t xml:space="preserve"> (</w:t>
      </w:r>
      <w:r>
        <w:rPr>
          <w:rFonts w:hint="cs"/>
          <w:rtl/>
        </w:rPr>
        <w:t>01</w:t>
      </w:r>
      <w:r w:rsidRPr="00506D43">
        <w:rPr>
          <w:rtl/>
        </w:rPr>
        <w:t>.</w:t>
      </w:r>
      <w:r>
        <w:rPr>
          <w:rFonts w:hint="cs"/>
          <w:rtl/>
        </w:rPr>
        <w:t>03</w:t>
      </w:r>
      <w:r w:rsidRPr="00506D43">
        <w:rPr>
          <w:rtl/>
        </w:rPr>
        <w:t>.2016)</w:t>
      </w:r>
      <w:r>
        <w:rPr>
          <w:rFonts w:hint="cs"/>
          <w:rtl/>
        </w:rPr>
        <w:t>); ובפרט, כאשר היועצת כלל לא הייתה בתפקידה בעת האירועים הרלוונטיים.</w:t>
      </w:r>
    </w:p>
    <w:p w:rsidR="00DB6151" w:rsidRDefault="00DB6151" w:rsidP="00DB6151">
      <w:pPr>
        <w:pStyle w:val="Ruller41"/>
        <w:overflowPunct/>
        <w:autoSpaceDE/>
        <w:autoSpaceDN/>
        <w:adjustRightInd/>
        <w:spacing w:before="240" w:after="240"/>
        <w:textAlignment w:val="auto"/>
        <w:rPr>
          <w:rFonts w:ascii="Century" w:hAnsi="Century" w:cs="Miriam"/>
          <w:b/>
          <w:spacing w:val="0"/>
          <w:szCs w:val="24"/>
          <w:rtl/>
        </w:rPr>
      </w:pPr>
      <w:r>
        <w:rPr>
          <w:rFonts w:ascii="Century" w:hAnsi="Century" w:cs="Miriam" w:hint="cs"/>
          <w:b/>
          <w:spacing w:val="0"/>
          <w:szCs w:val="24"/>
          <w:rtl/>
        </w:rPr>
        <w:t>ד. סוף דבר</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אודה ו</w:t>
      </w:r>
      <w:r>
        <w:rPr>
          <w:rtl/>
        </w:rPr>
        <w:t>לא אכחד</w:t>
      </w:r>
      <w:r>
        <w:rPr>
          <w:rFonts w:hint="cs"/>
          <w:rtl/>
        </w:rPr>
        <w:t>,</w:t>
      </w:r>
      <w:r>
        <w:rPr>
          <w:rtl/>
        </w:rPr>
        <w:t xml:space="preserve"> כי</w:t>
      </w:r>
      <w:r>
        <w:rPr>
          <w:rFonts w:hint="cs"/>
          <w:rtl/>
        </w:rPr>
        <w:t xml:space="preserve"> תחילה תהיתי האם אין בדחיית העתירה דנן משום הודאה בכישלון הטיפול בתופעה של הדלפות מחדרי חקירות. כאמור, מדובר בתופעה נפסדת, אשר פוגעת לא רק </w:t>
      </w:r>
      <w:r>
        <w:rPr>
          <w:rtl/>
        </w:rPr>
        <w:t>בזכות</w:t>
      </w:r>
      <w:r>
        <w:rPr>
          <w:rFonts w:hint="cs"/>
          <w:rtl/>
        </w:rPr>
        <w:t>ו של</w:t>
      </w:r>
      <w:r>
        <w:rPr>
          <w:rtl/>
        </w:rPr>
        <w:t xml:space="preserve"> חשוד </w:t>
      </w:r>
      <w:r>
        <w:rPr>
          <w:rFonts w:hint="cs"/>
          <w:rtl/>
        </w:rPr>
        <w:t xml:space="preserve">או נאשם </w:t>
      </w:r>
      <w:r>
        <w:rPr>
          <w:rtl/>
        </w:rPr>
        <w:t>להליך הוגן,</w:t>
      </w:r>
      <w:r>
        <w:rPr>
          <w:rFonts w:hint="cs"/>
          <w:rtl/>
        </w:rPr>
        <w:t xml:space="preserve"> </w:t>
      </w:r>
      <w:r>
        <w:rPr>
          <w:rtl/>
        </w:rPr>
        <w:t>אלא גם באינטרס הציבורי</w:t>
      </w:r>
      <w:r>
        <w:rPr>
          <w:rFonts w:hint="cs"/>
          <w:rtl/>
        </w:rPr>
        <w:t xml:space="preserve"> ש</w:t>
      </w:r>
      <w:r>
        <w:rPr>
          <w:rtl/>
        </w:rPr>
        <w:t>בניהו</w:t>
      </w:r>
      <w:r>
        <w:rPr>
          <w:rFonts w:hint="cs"/>
          <w:rtl/>
        </w:rPr>
        <w:t>ל</w:t>
      </w:r>
      <w:r>
        <w:rPr>
          <w:rtl/>
        </w:rPr>
        <w:t xml:space="preserve"> חקירה </w:t>
      </w:r>
      <w:r>
        <w:rPr>
          <w:rFonts w:hint="cs"/>
          <w:rtl/>
        </w:rPr>
        <w:t xml:space="preserve">כהלכה, </w:t>
      </w:r>
      <w:r>
        <w:rPr>
          <w:rtl/>
        </w:rPr>
        <w:t>ובאמון הציבור ברשויות אכיפ</w:t>
      </w:r>
      <w:r>
        <w:rPr>
          <w:rFonts w:hint="cs"/>
          <w:rtl/>
        </w:rPr>
        <w:t>ת החוק</w:t>
      </w:r>
      <w:r>
        <w:rPr>
          <w:rtl/>
        </w:rPr>
        <w:t>.</w:t>
      </w:r>
      <w:r>
        <w:rPr>
          <w:rFonts w:hint="cs"/>
          <w:rtl/>
        </w:rPr>
        <w:t xml:space="preserve"> </w:t>
      </w:r>
      <w:r>
        <w:rPr>
          <w:rtl/>
        </w:rPr>
        <w:t>המחיר</w:t>
      </w:r>
      <w:r>
        <w:rPr>
          <w:rFonts w:hint="cs"/>
          <w:rtl/>
        </w:rPr>
        <w:t xml:space="preserve">ים הנלווים לתופעה </w:t>
      </w:r>
      <w:r>
        <w:rPr>
          <w:rtl/>
        </w:rPr>
        <w:t>–</w:t>
      </w:r>
      <w:r>
        <w:rPr>
          <w:rFonts w:hint="cs"/>
          <w:rtl/>
        </w:rPr>
        <w:t xml:space="preserve"> כבדים; והניזוקים הם </w:t>
      </w:r>
      <w:r>
        <w:rPr>
          <w:rtl/>
        </w:rPr>
        <w:t xml:space="preserve">הציבור </w:t>
      </w:r>
      <w:r>
        <w:rPr>
          <w:rFonts w:hint="cs"/>
          <w:rtl/>
        </w:rPr>
        <w:t>ב</w:t>
      </w:r>
      <w:r>
        <w:rPr>
          <w:rtl/>
        </w:rPr>
        <w:t>כל</w:t>
      </w:r>
      <w:r>
        <w:rPr>
          <w:rFonts w:hint="cs"/>
          <w:rtl/>
        </w:rPr>
        <w:t>לותו ואף מערכת אכיפת החוק עצמה</w:t>
      </w:r>
      <w:r>
        <w:rPr>
          <w:rtl/>
        </w:rPr>
        <w:t>.</w:t>
      </w:r>
      <w:r>
        <w:rPr>
          <w:rFonts w:hint="cs"/>
          <w:rtl/>
        </w:rPr>
        <w:t xml:space="preserve"> </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ברם, בסופו של דבר, לאחר שהפכתי ושבתי והפכתי במכלול החומר שהונח לפנינו, כמו גם בפסיקת בית משפט זה </w:t>
      </w:r>
      <w:r>
        <w:rPr>
          <w:rtl/>
        </w:rPr>
        <w:t>–</w:t>
      </w:r>
      <w:r>
        <w:rPr>
          <w:rFonts w:hint="cs"/>
          <w:rtl/>
        </w:rPr>
        <w:t xml:space="preserve"> והעומד ביסודה </w:t>
      </w:r>
      <w:r>
        <w:rPr>
          <w:rtl/>
        </w:rPr>
        <w:t>–</w:t>
      </w:r>
      <w:r>
        <w:rPr>
          <w:rFonts w:hint="cs"/>
          <w:rtl/>
        </w:rPr>
        <w:t xml:space="preserve"> סבורני כי התוצאה אליה הגעתי מתבקשת במקרה דנן, ובדין יסודה.</w:t>
      </w:r>
      <w:r w:rsidRPr="00DF5F62">
        <w:rPr>
          <w:rFonts w:hint="cs"/>
          <w:rtl/>
        </w:rPr>
        <w:t xml:space="preserve"> </w:t>
      </w:r>
      <w:r>
        <w:rPr>
          <w:rFonts w:hint="cs"/>
          <w:rtl/>
        </w:rPr>
        <w:t xml:space="preserve">כפי שציין חברי השופט </w:t>
      </w:r>
      <w:r w:rsidRPr="00C90C20">
        <w:rPr>
          <w:rFonts w:ascii="Century" w:hAnsi="Century" w:cs="Miriam" w:hint="eastAsia"/>
          <w:b/>
          <w:spacing w:val="0"/>
          <w:szCs w:val="24"/>
          <w:rtl/>
        </w:rPr>
        <w:t>סולברג</w:t>
      </w:r>
      <w:r w:rsidRPr="00C93D79">
        <w:rPr>
          <w:rFonts w:hint="cs"/>
          <w:rtl/>
        </w:rPr>
        <w:t xml:space="preserve"> </w:t>
      </w:r>
      <w:r>
        <w:rPr>
          <w:rFonts w:hint="cs"/>
          <w:rtl/>
        </w:rPr>
        <w:t xml:space="preserve">בעניין </w:t>
      </w:r>
      <w:proofErr w:type="spellStart"/>
      <w:r w:rsidRPr="00C90C20">
        <w:rPr>
          <w:rFonts w:ascii="Century" w:hAnsi="Century" w:cs="Miriam" w:hint="eastAsia"/>
          <w:b/>
          <w:spacing w:val="0"/>
          <w:szCs w:val="24"/>
          <w:rtl/>
        </w:rPr>
        <w:t>חמדאן</w:t>
      </w:r>
      <w:proofErr w:type="spellEnd"/>
      <w:r>
        <w:rPr>
          <w:rFonts w:hint="cs"/>
          <w:rtl/>
        </w:rPr>
        <w:t>: "</w:t>
      </w:r>
      <w:r w:rsidRPr="00C37399">
        <w:rPr>
          <w:rFonts w:ascii="Century" w:hAnsi="Century" w:cs="Miriam" w:hint="eastAsia"/>
          <w:b/>
          <w:spacing w:val="0"/>
          <w:szCs w:val="24"/>
          <w:rtl/>
        </w:rPr>
        <w:t>חרף</w:t>
      </w:r>
      <w:r w:rsidRPr="00C37399">
        <w:rPr>
          <w:rFonts w:ascii="Century" w:hAnsi="Century" w:cs="Miriam"/>
          <w:b/>
          <w:spacing w:val="0"/>
          <w:szCs w:val="24"/>
          <w:rtl/>
        </w:rPr>
        <w:t xml:space="preserve"> </w:t>
      </w:r>
      <w:r w:rsidRPr="00C37399">
        <w:rPr>
          <w:rFonts w:ascii="Century" w:hAnsi="Century" w:cs="Miriam" w:hint="eastAsia"/>
          <w:b/>
          <w:spacing w:val="0"/>
          <w:szCs w:val="24"/>
          <w:rtl/>
        </w:rPr>
        <w:t>הפיתוי</w:t>
      </w:r>
      <w:r w:rsidRPr="00C37399">
        <w:rPr>
          <w:rFonts w:ascii="Century" w:hAnsi="Century" w:cs="Miriam"/>
          <w:b/>
          <w:spacing w:val="0"/>
          <w:szCs w:val="24"/>
          <w:rtl/>
        </w:rPr>
        <w:t xml:space="preserve"> </w:t>
      </w:r>
      <w:r w:rsidRPr="00C37399">
        <w:rPr>
          <w:rFonts w:ascii="Century" w:hAnsi="Century" w:cs="Miriam" w:hint="eastAsia"/>
          <w:b/>
          <w:spacing w:val="0"/>
          <w:szCs w:val="24"/>
          <w:rtl/>
        </w:rPr>
        <w:t>לרדת</w:t>
      </w:r>
      <w:r w:rsidRPr="00C37399">
        <w:rPr>
          <w:rFonts w:ascii="Century" w:hAnsi="Century" w:cs="Miriam"/>
          <w:b/>
          <w:spacing w:val="0"/>
          <w:szCs w:val="24"/>
          <w:rtl/>
        </w:rPr>
        <w:t xml:space="preserve"> </w:t>
      </w:r>
      <w:r w:rsidRPr="00C37399">
        <w:rPr>
          <w:rFonts w:ascii="Century" w:hAnsi="Century" w:cs="Miriam" w:hint="eastAsia"/>
          <w:b/>
          <w:spacing w:val="0"/>
          <w:szCs w:val="24"/>
          <w:rtl/>
        </w:rPr>
        <w:t>לשורשם</w:t>
      </w:r>
      <w:r w:rsidRPr="00C37399">
        <w:rPr>
          <w:rFonts w:ascii="Century" w:hAnsi="Century" w:cs="Miriam"/>
          <w:b/>
          <w:spacing w:val="0"/>
          <w:szCs w:val="24"/>
          <w:rtl/>
        </w:rPr>
        <w:t xml:space="preserve"> </w:t>
      </w:r>
      <w:r w:rsidRPr="00C37399">
        <w:rPr>
          <w:rFonts w:ascii="Century" w:hAnsi="Century" w:cs="Miriam" w:hint="eastAsia"/>
          <w:b/>
          <w:spacing w:val="0"/>
          <w:szCs w:val="24"/>
          <w:rtl/>
        </w:rPr>
        <w:t>של</w:t>
      </w:r>
      <w:r w:rsidRPr="00C37399">
        <w:rPr>
          <w:rFonts w:ascii="Century" w:hAnsi="Century" w:cs="Miriam"/>
          <w:b/>
          <w:spacing w:val="0"/>
          <w:szCs w:val="24"/>
          <w:rtl/>
        </w:rPr>
        <w:t xml:space="preserve"> </w:t>
      </w:r>
      <w:r w:rsidRPr="00C37399">
        <w:rPr>
          <w:rFonts w:ascii="Century" w:hAnsi="Century" w:cs="Miriam" w:hint="eastAsia"/>
          <w:b/>
          <w:spacing w:val="0"/>
          <w:szCs w:val="24"/>
          <w:rtl/>
        </w:rPr>
        <w:t>דברים</w:t>
      </w:r>
      <w:r w:rsidRPr="00C37399">
        <w:rPr>
          <w:rFonts w:ascii="Century" w:hAnsi="Century" w:cs="Miriam"/>
          <w:b/>
          <w:spacing w:val="0"/>
          <w:szCs w:val="24"/>
          <w:rtl/>
        </w:rPr>
        <w:t xml:space="preserve">, </w:t>
      </w:r>
      <w:r w:rsidRPr="00C37399">
        <w:rPr>
          <w:rFonts w:ascii="Century" w:hAnsi="Century" w:cs="Miriam" w:hint="eastAsia"/>
          <w:b/>
          <w:spacing w:val="0"/>
          <w:szCs w:val="24"/>
          <w:rtl/>
        </w:rPr>
        <w:t>ולבחון</w:t>
      </w:r>
      <w:r w:rsidRPr="00C37399">
        <w:rPr>
          <w:rFonts w:ascii="Century" w:hAnsi="Century" w:cs="Miriam"/>
          <w:b/>
          <w:spacing w:val="0"/>
          <w:szCs w:val="24"/>
          <w:rtl/>
        </w:rPr>
        <w:t xml:space="preserve"> </w:t>
      </w:r>
      <w:r w:rsidRPr="00C37399">
        <w:rPr>
          <w:rFonts w:ascii="Century" w:hAnsi="Century" w:cs="Miriam" w:hint="eastAsia"/>
          <w:b/>
          <w:spacing w:val="0"/>
          <w:szCs w:val="24"/>
          <w:rtl/>
        </w:rPr>
        <w:t>את</w:t>
      </w:r>
      <w:r w:rsidRPr="00C37399">
        <w:rPr>
          <w:rFonts w:ascii="Century" w:hAnsi="Century" w:cs="Miriam"/>
          <w:b/>
          <w:spacing w:val="0"/>
          <w:szCs w:val="24"/>
          <w:rtl/>
        </w:rPr>
        <w:t xml:space="preserve"> </w:t>
      </w:r>
      <w:r w:rsidRPr="00C37399">
        <w:rPr>
          <w:rFonts w:ascii="Century" w:hAnsi="Century" w:cs="Miriam" w:hint="eastAsia"/>
          <w:b/>
          <w:spacing w:val="0"/>
          <w:szCs w:val="24"/>
          <w:rtl/>
        </w:rPr>
        <w:t>החלטת</w:t>
      </w:r>
      <w:r w:rsidRPr="00C37399">
        <w:rPr>
          <w:rFonts w:ascii="Century" w:hAnsi="Century" w:cs="Miriam"/>
          <w:b/>
          <w:spacing w:val="0"/>
          <w:szCs w:val="24"/>
          <w:rtl/>
        </w:rPr>
        <w:t xml:space="preserve"> </w:t>
      </w:r>
      <w:r w:rsidRPr="00C37399">
        <w:rPr>
          <w:rFonts w:ascii="Century" w:hAnsi="Century" w:cs="Miriam" w:hint="eastAsia"/>
          <w:b/>
          <w:spacing w:val="0"/>
          <w:szCs w:val="24"/>
          <w:rtl/>
        </w:rPr>
        <w:t>הרשות</w:t>
      </w:r>
      <w:r w:rsidRPr="00C37399">
        <w:rPr>
          <w:rFonts w:ascii="Century" w:hAnsi="Century" w:cs="Miriam"/>
          <w:b/>
          <w:spacing w:val="0"/>
          <w:szCs w:val="24"/>
          <w:rtl/>
        </w:rPr>
        <w:t xml:space="preserve"> </w:t>
      </w:r>
      <w:r w:rsidRPr="00C37399">
        <w:rPr>
          <w:rFonts w:ascii="Century" w:hAnsi="Century" w:cs="Miriam" w:hint="eastAsia"/>
          <w:b/>
          <w:spacing w:val="0"/>
          <w:szCs w:val="24"/>
          <w:rtl/>
        </w:rPr>
        <w:t>בתחום</w:t>
      </w:r>
      <w:r w:rsidRPr="00C37399">
        <w:rPr>
          <w:rFonts w:ascii="Century" w:hAnsi="Century" w:cs="Miriam"/>
          <w:b/>
          <w:spacing w:val="0"/>
          <w:szCs w:val="24"/>
          <w:rtl/>
        </w:rPr>
        <w:t xml:space="preserve"> </w:t>
      </w:r>
      <w:r w:rsidRPr="00C37399">
        <w:rPr>
          <w:rFonts w:ascii="Century" w:hAnsi="Century" w:cs="Miriam" w:hint="eastAsia"/>
          <w:b/>
          <w:spacing w:val="0"/>
          <w:szCs w:val="24"/>
          <w:rtl/>
        </w:rPr>
        <w:t>הנמצא</w:t>
      </w:r>
      <w:r w:rsidRPr="00C37399">
        <w:rPr>
          <w:rFonts w:ascii="Century" w:hAnsi="Century" w:cs="Miriam"/>
          <w:b/>
          <w:spacing w:val="0"/>
          <w:szCs w:val="24"/>
          <w:rtl/>
        </w:rPr>
        <w:t xml:space="preserve"> </w:t>
      </w:r>
      <w:r w:rsidRPr="00C37399">
        <w:rPr>
          <w:rFonts w:ascii="Century" w:hAnsi="Century" w:cs="Miriam" w:hint="eastAsia"/>
          <w:b/>
          <w:spacing w:val="0"/>
          <w:szCs w:val="24"/>
          <w:rtl/>
        </w:rPr>
        <w:t>בלב</w:t>
      </w:r>
      <w:r w:rsidRPr="00C37399">
        <w:rPr>
          <w:rFonts w:ascii="Century" w:hAnsi="Century" w:cs="Miriam"/>
          <w:b/>
          <w:spacing w:val="0"/>
          <w:szCs w:val="24"/>
          <w:rtl/>
        </w:rPr>
        <w:t xml:space="preserve"> </w:t>
      </w:r>
      <w:r w:rsidRPr="00C37399">
        <w:rPr>
          <w:rFonts w:ascii="Century" w:hAnsi="Century" w:cs="Miriam" w:hint="eastAsia"/>
          <w:b/>
          <w:spacing w:val="0"/>
          <w:szCs w:val="24"/>
          <w:rtl/>
        </w:rPr>
        <w:t>עיסוקנו</w:t>
      </w:r>
      <w:r w:rsidRPr="00C37399">
        <w:rPr>
          <w:rFonts w:ascii="Century" w:hAnsi="Century" w:cs="Miriam"/>
          <w:b/>
          <w:spacing w:val="0"/>
          <w:szCs w:val="24"/>
          <w:rtl/>
        </w:rPr>
        <w:t xml:space="preserve"> </w:t>
      </w:r>
      <w:r w:rsidRPr="00C37399">
        <w:rPr>
          <w:rFonts w:ascii="Century" w:hAnsi="Century" w:cs="Miriam" w:hint="eastAsia"/>
          <w:b/>
          <w:spacing w:val="0"/>
          <w:szCs w:val="24"/>
          <w:rtl/>
        </w:rPr>
        <w:t>המקצועי</w:t>
      </w:r>
      <w:r w:rsidRPr="00C37399">
        <w:rPr>
          <w:rFonts w:ascii="Century" w:hAnsi="Century" w:cs="Miriam"/>
          <w:b/>
          <w:spacing w:val="0"/>
          <w:szCs w:val="24"/>
          <w:rtl/>
        </w:rPr>
        <w:t xml:space="preserve"> </w:t>
      </w:r>
      <w:r w:rsidRPr="00C37399">
        <w:rPr>
          <w:rFonts w:ascii="Century" w:hAnsi="Century" w:cs="Miriam" w:hint="eastAsia"/>
          <w:b/>
          <w:spacing w:val="0"/>
          <w:szCs w:val="24"/>
          <w:rtl/>
        </w:rPr>
        <w:t>–</w:t>
      </w:r>
      <w:r w:rsidRPr="00C37399">
        <w:rPr>
          <w:rFonts w:ascii="Century" w:hAnsi="Century" w:cs="Miriam"/>
          <w:b/>
          <w:spacing w:val="0"/>
          <w:szCs w:val="24"/>
          <w:rtl/>
        </w:rPr>
        <w:t xml:space="preserve"> </w:t>
      </w:r>
      <w:r w:rsidRPr="00C37399">
        <w:rPr>
          <w:rFonts w:ascii="Century" w:hAnsi="Century" w:cs="Miriam" w:hint="eastAsia"/>
          <w:b/>
          <w:spacing w:val="0"/>
          <w:szCs w:val="24"/>
          <w:rtl/>
        </w:rPr>
        <w:t>עלינו</w:t>
      </w:r>
      <w:r w:rsidRPr="00C37399">
        <w:rPr>
          <w:rFonts w:ascii="Century" w:hAnsi="Century" w:cs="Miriam"/>
          <w:b/>
          <w:spacing w:val="0"/>
          <w:szCs w:val="24"/>
          <w:rtl/>
        </w:rPr>
        <w:t xml:space="preserve"> </w:t>
      </w:r>
      <w:r w:rsidRPr="00C37399">
        <w:rPr>
          <w:rFonts w:ascii="Century" w:hAnsi="Century" w:cs="Miriam" w:hint="eastAsia"/>
          <w:b/>
          <w:spacing w:val="0"/>
          <w:szCs w:val="24"/>
          <w:rtl/>
        </w:rPr>
        <w:t>להישמר</w:t>
      </w:r>
      <w:r w:rsidRPr="00C37399">
        <w:rPr>
          <w:rFonts w:ascii="Century" w:hAnsi="Century" w:cs="Miriam"/>
          <w:b/>
          <w:spacing w:val="0"/>
          <w:szCs w:val="24"/>
          <w:rtl/>
        </w:rPr>
        <w:t xml:space="preserve"> </w:t>
      </w:r>
      <w:r w:rsidRPr="00C37399">
        <w:rPr>
          <w:rFonts w:ascii="Century" w:hAnsi="Century" w:cs="Miriam" w:hint="eastAsia"/>
          <w:b/>
          <w:spacing w:val="0"/>
          <w:szCs w:val="24"/>
          <w:rtl/>
        </w:rPr>
        <w:t>מכך</w:t>
      </w:r>
      <w:r>
        <w:rPr>
          <w:rFonts w:hint="cs"/>
          <w:rtl/>
        </w:rPr>
        <w:t>" (שם, בפסקה 24 לחוות דעתו).</w:t>
      </w:r>
      <w:r w:rsidRPr="00DF5F62">
        <w:rPr>
          <w:rFonts w:hint="cs"/>
          <w:rtl/>
        </w:rPr>
        <w:t xml:space="preserve"> </w:t>
      </w:r>
      <w:r>
        <w:rPr>
          <w:rFonts w:hint="cs"/>
          <w:rtl/>
        </w:rPr>
        <w:t xml:space="preserve">לטעמי, כניסה בנעלי גורמי אכיפת החוק, ובפרט בנעלי העומדת בראש מערכת אכיפת החוק, בהחלטה הכרוכה בהערכה מקצועית של הראיות הקיימות ואמצעי החקירה הרלוונטיים העומדים לרשות גורמי החקירה, היא בבחינת </w:t>
      </w:r>
      <w:r>
        <w:rPr>
          <w:rtl/>
        </w:rPr>
        <w:t>פתיחת שערי</w:t>
      </w:r>
      <w:r>
        <w:rPr>
          <w:rFonts w:hint="cs"/>
          <w:rtl/>
        </w:rPr>
        <w:t>ו של</w:t>
      </w:r>
      <w:r>
        <w:rPr>
          <w:rtl/>
        </w:rPr>
        <w:t xml:space="preserve"> בית</w:t>
      </w:r>
      <w:r>
        <w:rPr>
          <w:rFonts w:hint="cs"/>
          <w:rtl/>
        </w:rPr>
        <w:t xml:space="preserve"> ה</w:t>
      </w:r>
      <w:r>
        <w:rPr>
          <w:rtl/>
        </w:rPr>
        <w:t xml:space="preserve">משפט </w:t>
      </w:r>
      <w:r>
        <w:rPr>
          <w:rFonts w:hint="cs"/>
          <w:rtl/>
        </w:rPr>
        <w:t>הגבוה לצדק</w:t>
      </w:r>
      <w:r>
        <w:rPr>
          <w:rtl/>
        </w:rPr>
        <w:t xml:space="preserve"> </w:t>
      </w:r>
      <w:r>
        <w:rPr>
          <w:rFonts w:hint="cs"/>
          <w:rtl/>
        </w:rPr>
        <w:t>ל'</w:t>
      </w:r>
      <w:r>
        <w:rPr>
          <w:rtl/>
        </w:rPr>
        <w:t>תיקון עולם</w:t>
      </w:r>
      <w:r>
        <w:rPr>
          <w:rFonts w:hint="cs"/>
          <w:rtl/>
        </w:rPr>
        <w:t>'</w:t>
      </w:r>
      <w:r>
        <w:rPr>
          <w:rtl/>
        </w:rPr>
        <w:t xml:space="preserve"> </w:t>
      </w:r>
      <w:r>
        <w:rPr>
          <w:rFonts w:hint="cs"/>
          <w:rtl/>
        </w:rPr>
        <w:t>ש</w:t>
      </w:r>
      <w:r>
        <w:rPr>
          <w:rtl/>
        </w:rPr>
        <w:t xml:space="preserve">שכרו יוצא </w:t>
      </w:r>
      <w:r w:rsidRPr="001F29CB">
        <w:rPr>
          <w:rtl/>
        </w:rPr>
        <w:t xml:space="preserve">בהפסדו. פתיחה בחקירה </w:t>
      </w:r>
      <w:r w:rsidRPr="00472291">
        <w:rPr>
          <w:rFonts w:hint="eastAsia"/>
          <w:rtl/>
        </w:rPr>
        <w:t>מקום</w:t>
      </w:r>
      <w:r w:rsidRPr="00472291">
        <w:rPr>
          <w:rtl/>
        </w:rPr>
        <w:t xml:space="preserve"> </w:t>
      </w:r>
      <w:r w:rsidRPr="00472291">
        <w:rPr>
          <w:rFonts w:hint="eastAsia"/>
          <w:rtl/>
        </w:rPr>
        <w:t>שבו</w:t>
      </w:r>
      <w:r w:rsidRPr="00472291">
        <w:rPr>
          <w:rtl/>
        </w:rPr>
        <w:t xml:space="preserve"> </w:t>
      </w:r>
      <w:r w:rsidRPr="00472291">
        <w:rPr>
          <w:rFonts w:hint="eastAsia"/>
          <w:rtl/>
        </w:rPr>
        <w:t>כל</w:t>
      </w:r>
      <w:r w:rsidRPr="00472291">
        <w:rPr>
          <w:rtl/>
        </w:rPr>
        <w:t xml:space="preserve"> גורמי המקצוע סבורים כי תוחלתה נמוכה, לא </w:t>
      </w:r>
      <w:r w:rsidRPr="00472291">
        <w:rPr>
          <w:rFonts w:hint="eastAsia"/>
          <w:rtl/>
        </w:rPr>
        <w:t>תביא</w:t>
      </w:r>
      <w:r w:rsidRPr="00472291">
        <w:rPr>
          <w:rtl/>
        </w:rPr>
        <w:t xml:space="preserve"> </w:t>
      </w:r>
      <w:r w:rsidRPr="00472291">
        <w:rPr>
          <w:rFonts w:hint="eastAsia"/>
          <w:rtl/>
        </w:rPr>
        <w:t>מזור</w:t>
      </w:r>
      <w:r w:rsidRPr="00472291">
        <w:rPr>
          <w:rtl/>
        </w:rPr>
        <w:t xml:space="preserve">. </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זאת ועוד, היועצת הדגישה </w:t>
      </w:r>
      <w:r w:rsidRPr="003C0A49">
        <w:rPr>
          <w:rFonts w:hint="cs"/>
          <w:rtl/>
        </w:rPr>
        <w:t xml:space="preserve">כי </w:t>
      </w:r>
      <w:r>
        <w:rPr>
          <w:rFonts w:hint="cs"/>
          <w:rtl/>
        </w:rPr>
        <w:t xml:space="preserve">התופעה, כשלעצמה </w:t>
      </w:r>
      <w:r>
        <w:rPr>
          <w:rtl/>
        </w:rPr>
        <w:t>–</w:t>
      </w:r>
      <w:r>
        <w:rPr>
          <w:rFonts w:hint="cs"/>
          <w:rtl/>
        </w:rPr>
        <w:t xml:space="preserve"> מדאיגה; ומשכך, היא </w:t>
      </w:r>
      <w:r w:rsidRPr="003C0A49">
        <w:rPr>
          <w:rFonts w:hint="cs"/>
          <w:rtl/>
        </w:rPr>
        <w:t xml:space="preserve">החלה בצעדים </w:t>
      </w:r>
      <w:r>
        <w:rPr>
          <w:rFonts w:hint="cs"/>
          <w:rtl/>
        </w:rPr>
        <w:t xml:space="preserve">ממשיים </w:t>
      </w:r>
      <w:r w:rsidRPr="003C0A49">
        <w:rPr>
          <w:rFonts w:hint="cs"/>
          <w:rtl/>
        </w:rPr>
        <w:t>כדי למנוע את הישנותה.</w:t>
      </w:r>
      <w:r>
        <w:rPr>
          <w:rFonts w:hint="cs"/>
          <w:rtl/>
        </w:rPr>
        <w:t xml:space="preserve"> בתוך כך היועצת ה</w:t>
      </w:r>
      <w:r w:rsidRPr="003C0A49">
        <w:rPr>
          <w:rFonts w:hint="cs"/>
          <w:rtl/>
        </w:rPr>
        <w:t>כירה</w:t>
      </w:r>
      <w:r>
        <w:rPr>
          <w:rFonts w:hint="cs"/>
          <w:rtl/>
        </w:rPr>
        <w:t>, הלכה למעשה,</w:t>
      </w:r>
      <w:r w:rsidRPr="003C0A49">
        <w:rPr>
          <w:rFonts w:hint="cs"/>
          <w:rtl/>
        </w:rPr>
        <w:t xml:space="preserve"> </w:t>
      </w:r>
      <w:r>
        <w:rPr>
          <w:rFonts w:hint="cs"/>
          <w:rtl/>
        </w:rPr>
        <w:t xml:space="preserve">הן בהחלטתה הן בתגובה לעתירה המתוקנת, </w:t>
      </w:r>
      <w:r w:rsidRPr="003C0A49">
        <w:rPr>
          <w:rFonts w:hint="cs"/>
          <w:rtl/>
        </w:rPr>
        <w:t>ב</w:t>
      </w:r>
      <w:r>
        <w:rPr>
          <w:rFonts w:hint="cs"/>
          <w:rtl/>
        </w:rPr>
        <w:t xml:space="preserve">כך </w:t>
      </w:r>
      <w:r w:rsidRPr="003C0A49">
        <w:rPr>
          <w:rFonts w:hint="cs"/>
          <w:rtl/>
        </w:rPr>
        <w:t xml:space="preserve">שישנה </w:t>
      </w:r>
      <w:r>
        <w:rPr>
          <w:rFonts w:hint="cs"/>
          <w:rtl/>
        </w:rPr>
        <w:t>תופעה</w:t>
      </w:r>
      <w:r w:rsidRPr="003C0A49">
        <w:rPr>
          <w:rFonts w:hint="cs"/>
          <w:rtl/>
        </w:rPr>
        <w:t xml:space="preserve"> </w:t>
      </w:r>
      <w:r>
        <w:rPr>
          <w:rFonts w:hint="cs"/>
          <w:rtl/>
        </w:rPr>
        <w:t xml:space="preserve">הדורשת טיפול מקצועי, </w:t>
      </w:r>
      <w:r>
        <w:rPr>
          <w:rFonts w:hint="cs"/>
          <w:rtl/>
        </w:rPr>
        <w:lastRenderedPageBreak/>
        <w:t>יסודי ומקיף, תוך שצוין כי תובנה זו "</w:t>
      </w:r>
      <w:r w:rsidRPr="003C0A49">
        <w:rPr>
          <w:rFonts w:ascii="Century" w:hAnsi="Century" w:cs="Miriam" w:hint="cs"/>
          <w:b/>
          <w:spacing w:val="0"/>
          <w:szCs w:val="24"/>
          <w:rtl/>
        </w:rPr>
        <w:t>התחדדה במקרה זה ובמקרים נוספים</w:t>
      </w:r>
      <w:r>
        <w:rPr>
          <w:rFonts w:hint="cs"/>
          <w:rtl/>
        </w:rPr>
        <w:t>". כפי שכבר פורט, היועצת מינתה לשם כך "</w:t>
      </w:r>
      <w:r w:rsidRPr="003C0A49">
        <w:rPr>
          <w:rFonts w:ascii="Century" w:hAnsi="Century" w:cs="Miriam" w:hint="cs"/>
          <w:b/>
          <w:spacing w:val="0"/>
          <w:szCs w:val="24"/>
          <w:rtl/>
        </w:rPr>
        <w:t>גורם</w:t>
      </w:r>
      <w:r w:rsidRPr="003C0A49">
        <w:rPr>
          <w:rFonts w:hint="cs"/>
          <w:rtl/>
        </w:rPr>
        <w:t xml:space="preserve"> </w:t>
      </w:r>
      <w:r w:rsidRPr="003C0A49">
        <w:rPr>
          <w:rFonts w:ascii="Century" w:hAnsi="Century" w:cs="Miriam" w:hint="cs"/>
          <w:b/>
          <w:spacing w:val="0"/>
          <w:szCs w:val="24"/>
          <w:rtl/>
        </w:rPr>
        <w:t>חיצוני, בכיר ומיומן בנושא הנדון, לקיים עבודת מטה ולהמליץ על צעדים מעשיים לשם מניעת מסירת מידע האסור בגילוי וסגירת פרצות, ככל שקיימות</w:t>
      </w:r>
      <w:r>
        <w:rPr>
          <w:rFonts w:hint="cs"/>
          <w:rtl/>
        </w:rPr>
        <w:t>".</w:t>
      </w:r>
      <w:r w:rsidRPr="003C0A49">
        <w:rPr>
          <w:rFonts w:hint="cs"/>
          <w:rtl/>
        </w:rPr>
        <w:t xml:space="preserve"> אין להמעיט בערכו של </w:t>
      </w:r>
      <w:r>
        <w:rPr>
          <w:rFonts w:hint="cs"/>
          <w:rtl/>
        </w:rPr>
        <w:t>מהלך זה</w:t>
      </w:r>
      <w:r w:rsidRPr="003C0A49">
        <w:rPr>
          <w:rFonts w:hint="cs"/>
          <w:rtl/>
        </w:rPr>
        <w:t xml:space="preserve">, </w:t>
      </w:r>
      <w:r>
        <w:rPr>
          <w:rFonts w:hint="cs"/>
          <w:rtl/>
        </w:rPr>
        <w:t>ו</w:t>
      </w:r>
      <w:r w:rsidRPr="003C0A49">
        <w:rPr>
          <w:rFonts w:hint="cs"/>
          <w:rtl/>
        </w:rPr>
        <w:t>ניתן</w:t>
      </w:r>
      <w:r>
        <w:rPr>
          <w:rFonts w:hint="cs"/>
          <w:rtl/>
        </w:rPr>
        <w:t xml:space="preserve"> רק</w:t>
      </w:r>
      <w:r w:rsidRPr="003C0A49">
        <w:rPr>
          <w:rFonts w:hint="cs"/>
          <w:rtl/>
        </w:rPr>
        <w:t xml:space="preserve"> לקוות כי </w:t>
      </w:r>
      <w:r>
        <w:rPr>
          <w:rFonts w:hint="cs"/>
          <w:rtl/>
        </w:rPr>
        <w:t>הוא יישא פ</w:t>
      </w:r>
      <w:r w:rsidRPr="003C0A49">
        <w:rPr>
          <w:rFonts w:hint="cs"/>
          <w:rtl/>
        </w:rPr>
        <w:t>ר</w:t>
      </w:r>
      <w:r>
        <w:rPr>
          <w:rFonts w:hint="cs"/>
          <w:rtl/>
        </w:rPr>
        <w:t>י</w:t>
      </w:r>
      <w:r w:rsidRPr="003C0A49">
        <w:rPr>
          <w:rFonts w:hint="cs"/>
          <w:rtl/>
        </w:rPr>
        <w:t>, וישים סוף לתופעה הנפסדת של הדלפות מחדרי החקירות</w:t>
      </w:r>
      <w:r>
        <w:rPr>
          <w:rFonts w:hint="cs"/>
          <w:rtl/>
        </w:rPr>
        <w:t xml:space="preserve"> ותיקי חקירה</w:t>
      </w:r>
      <w:r w:rsidRPr="003C0A49">
        <w:rPr>
          <w:rFonts w:hint="cs"/>
          <w:rtl/>
        </w:rPr>
        <w:t>.</w:t>
      </w:r>
      <w:r>
        <w:rPr>
          <w:rFonts w:hint="cs"/>
          <w:rtl/>
        </w:rPr>
        <w:t xml:space="preserve"> </w:t>
      </w:r>
      <w:r w:rsidRPr="00472291">
        <w:rPr>
          <w:rFonts w:hint="eastAsia"/>
          <w:rtl/>
        </w:rPr>
        <w:t>דומה</w:t>
      </w:r>
      <w:r w:rsidRPr="00472291">
        <w:rPr>
          <w:rtl/>
        </w:rPr>
        <w:t xml:space="preserve"> כי זה </w:t>
      </w:r>
      <w:r w:rsidRPr="00472291">
        <w:rPr>
          <w:rFonts w:hint="eastAsia"/>
          <w:rtl/>
        </w:rPr>
        <w:t>המעשה</w:t>
      </w:r>
      <w:r w:rsidRPr="00472291">
        <w:rPr>
          <w:rtl/>
        </w:rPr>
        <w:t xml:space="preserve"> היחיד </w:t>
      </w:r>
      <w:r w:rsidRPr="00472291">
        <w:rPr>
          <w:rFonts w:hint="eastAsia"/>
          <w:rtl/>
        </w:rPr>
        <w:t>שניתן</w:t>
      </w:r>
      <w:r w:rsidRPr="00472291">
        <w:rPr>
          <w:rtl/>
        </w:rPr>
        <w:t xml:space="preserve"> </w:t>
      </w:r>
      <w:r w:rsidRPr="00472291">
        <w:rPr>
          <w:rFonts w:hint="eastAsia"/>
          <w:rtl/>
        </w:rPr>
        <w:t>לעשות</w:t>
      </w:r>
      <w:r w:rsidRPr="00472291">
        <w:rPr>
          <w:rtl/>
        </w:rPr>
        <w:t xml:space="preserve"> </w:t>
      </w:r>
      <w:r w:rsidRPr="00472291">
        <w:rPr>
          <w:rFonts w:hint="eastAsia"/>
          <w:rtl/>
        </w:rPr>
        <w:t>בנסיבות</w:t>
      </w:r>
      <w:r w:rsidRPr="00472291">
        <w:rPr>
          <w:rtl/>
        </w:rPr>
        <w:t xml:space="preserve"> </w:t>
      </w:r>
      <w:r w:rsidRPr="00472291">
        <w:rPr>
          <w:rFonts w:hint="eastAsia"/>
          <w:rtl/>
        </w:rPr>
        <w:t>העניין</w:t>
      </w:r>
      <w:r w:rsidRPr="00472291">
        <w:rPr>
          <w:rtl/>
        </w:rPr>
        <w:t>.</w:t>
      </w:r>
    </w:p>
    <w:p w:rsidR="00DB6151" w:rsidRDefault="00DB6151" w:rsidP="00DB6151">
      <w:pPr>
        <w:pStyle w:val="Ruller41"/>
        <w:numPr>
          <w:ilvl w:val="0"/>
          <w:numId w:val="13"/>
        </w:numPr>
        <w:overflowPunct/>
        <w:autoSpaceDE/>
        <w:autoSpaceDN/>
        <w:adjustRightInd/>
        <w:spacing w:before="240" w:after="240"/>
        <w:ind w:left="0" w:firstLine="0"/>
        <w:textAlignment w:val="auto"/>
        <w:rPr>
          <w:rtl/>
        </w:rPr>
      </w:pPr>
      <w:r>
        <w:rPr>
          <w:rFonts w:hint="cs"/>
          <w:rtl/>
        </w:rPr>
        <w:t>לצד זאת יוזכר, כי לא לעולם חוסן. אין זה מן הנמנע כי יגיע המקרה המתאים שבו תתקיים חקירה פלילית ויועמד עובד ציבור לדין בגין ביצוע עבירה של מסירת מידע האסור בגילוי. כפי שציינה היועצת בתגובתה, כבר היו דברים מעולם.</w:t>
      </w:r>
    </w:p>
    <w:p w:rsidR="00DB6151"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סיכומו של דבר </w:t>
      </w:r>
      <w:r>
        <w:rPr>
          <w:rtl/>
        </w:rPr>
        <w:t>–</w:t>
      </w:r>
      <w:r>
        <w:rPr>
          <w:rFonts w:hint="cs"/>
          <w:rtl/>
        </w:rPr>
        <w:t xml:space="preserve"> </w:t>
      </w:r>
      <w:r w:rsidRPr="001F720B">
        <w:rPr>
          <w:rFonts w:hint="cs"/>
          <w:rtl/>
        </w:rPr>
        <w:t>המקרה דנן, על</w:t>
      </w:r>
      <w:r>
        <w:rPr>
          <w:rFonts w:hint="cs"/>
          <w:rtl/>
        </w:rPr>
        <w:t xml:space="preserve"> </w:t>
      </w:r>
      <w:r w:rsidRPr="001F720B">
        <w:rPr>
          <w:rFonts w:hint="cs"/>
          <w:rtl/>
        </w:rPr>
        <w:t xml:space="preserve">אף אי הנוחות העולה ממנו, </w:t>
      </w:r>
      <w:r>
        <w:rPr>
          <w:rFonts w:hint="cs"/>
          <w:rtl/>
        </w:rPr>
        <w:t>לא</w:t>
      </w:r>
      <w:r w:rsidRPr="001F720B">
        <w:rPr>
          <w:rFonts w:hint="cs"/>
          <w:rtl/>
        </w:rPr>
        <w:t xml:space="preserve"> בא ב</w:t>
      </w:r>
      <w:r>
        <w:rPr>
          <w:rFonts w:hint="cs"/>
          <w:rtl/>
        </w:rPr>
        <w:t>קהלם</w:t>
      </w:r>
      <w:r w:rsidRPr="001F720B">
        <w:rPr>
          <w:rFonts w:hint="cs"/>
          <w:rtl/>
        </w:rPr>
        <w:t xml:space="preserve"> </w:t>
      </w:r>
      <w:r>
        <w:rPr>
          <w:rFonts w:hint="cs"/>
          <w:rtl/>
        </w:rPr>
        <w:t xml:space="preserve">של </w:t>
      </w:r>
      <w:r w:rsidRPr="001F720B">
        <w:rPr>
          <w:rFonts w:hint="cs"/>
          <w:rtl/>
        </w:rPr>
        <w:t>המקרים החריגים המצדיקים התערבות שיפוטית בהחלטה של ה</w:t>
      </w:r>
      <w:r>
        <w:rPr>
          <w:rFonts w:hint="cs"/>
          <w:rtl/>
        </w:rPr>
        <w:t xml:space="preserve">יועצת </w:t>
      </w:r>
      <w:r w:rsidRPr="001F720B">
        <w:rPr>
          <w:rFonts w:hint="cs"/>
          <w:rtl/>
        </w:rPr>
        <w:t xml:space="preserve">בעניינים הנוגעים לאכיפת הדין הפלילי, לבטח כאשר זו </w:t>
      </w:r>
      <w:r>
        <w:rPr>
          <w:rFonts w:hint="cs"/>
          <w:rtl/>
        </w:rPr>
        <w:t xml:space="preserve">קשורה בטבורה בשיקולים של הערכת תוחלת החקירה, ועל אחת כמה וכמה כאשר החלטה זו </w:t>
      </w:r>
      <w:r w:rsidRPr="001F720B">
        <w:rPr>
          <w:rFonts w:hint="cs"/>
          <w:rtl/>
        </w:rPr>
        <w:t xml:space="preserve">התקבלה בהתאם להמלצה של פרקליט המדינה וראש אגף חקירות ומודיעין במשטרה. </w:t>
      </w:r>
    </w:p>
    <w:p w:rsidR="00DB6151" w:rsidRPr="009F3379" w:rsidRDefault="00DB6151" w:rsidP="00DB6151">
      <w:pPr>
        <w:pStyle w:val="Ruller41"/>
        <w:numPr>
          <w:ilvl w:val="0"/>
          <w:numId w:val="13"/>
        </w:numPr>
        <w:overflowPunct/>
        <w:autoSpaceDE/>
        <w:autoSpaceDN/>
        <w:adjustRightInd/>
        <w:spacing w:before="240" w:after="240"/>
        <w:ind w:left="0" w:firstLine="0"/>
        <w:textAlignment w:val="auto"/>
      </w:pPr>
      <w:r>
        <w:rPr>
          <w:rFonts w:hint="cs"/>
          <w:rtl/>
        </w:rPr>
        <w:t xml:space="preserve">על יסוד כל האמור לעיל אציע לחברי ולחברתי כי נורה על דחיית העתירה. עם זאת, לאור העובדה שהעניין שלפנינו סייע בחידוד הצורך בפתרון מערכתי ומקצועי לסוגיה </w:t>
      </w:r>
      <w:r>
        <w:rPr>
          <w:rtl/>
        </w:rPr>
        <w:t>–</w:t>
      </w:r>
      <w:r>
        <w:rPr>
          <w:rFonts w:hint="cs"/>
          <w:rtl/>
        </w:rPr>
        <w:t xml:space="preserve"> אציע כי נעשה צו להוצאות לטובת העותר בסך של 10,000 ש"ח.</w:t>
      </w:r>
    </w:p>
    <w:p w:rsidR="00F10301" w:rsidRDefault="00F10301" w:rsidP="00DB6151">
      <w:pPr>
        <w:pStyle w:val="Ruller41"/>
        <w:spacing w:before="240" w:after="240"/>
        <w:rPr>
          <w:rFonts w:ascii="Century" w:hAnsi="Century"/>
          <w:rtl/>
        </w:rPr>
      </w:pPr>
    </w:p>
    <w:p w:rsidR="00DB6151" w:rsidRPr="00DB1AA8" w:rsidRDefault="00DB6151" w:rsidP="00DB6151">
      <w:pPr>
        <w:spacing w:line="360" w:lineRule="auto"/>
        <w:rPr>
          <w:rFonts w:ascii="Century" w:hAnsi="Century" w:cs="FrankRuehl"/>
          <w:spacing w:val="10"/>
          <w:sz w:val="22"/>
          <w:szCs w:val="28"/>
          <w:rtl/>
        </w:rPr>
      </w:pPr>
      <w:r w:rsidRPr="00DB1AA8">
        <w:rPr>
          <w:rFonts w:ascii="Century" w:hAnsi="Century" w:cs="FrankRuehl" w:hint="cs"/>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Pr>
          <w:rFonts w:ascii="Century" w:hAnsi="Century" w:cs="FrankRuehl"/>
          <w:spacing w:val="10"/>
          <w:sz w:val="22"/>
          <w:szCs w:val="28"/>
          <w:rtl/>
        </w:rPr>
        <w:tab/>
      </w:r>
      <w:r w:rsidRPr="00DB1AA8">
        <w:rPr>
          <w:rFonts w:ascii="Century" w:hAnsi="Century" w:cs="FrankRuehl" w:hint="cs"/>
          <w:spacing w:val="10"/>
          <w:sz w:val="22"/>
          <w:szCs w:val="28"/>
          <w:rtl/>
        </w:rPr>
        <w:t>ש ו פ ט</w:t>
      </w:r>
    </w:p>
    <w:p w:rsidR="00DB6151" w:rsidRDefault="00DB6151" w:rsidP="00DB6151">
      <w:pPr>
        <w:pStyle w:val="Ruller3"/>
        <w:rPr>
          <w:rFonts w:ascii="Century" w:hAnsi="Century" w:cs="Miriam"/>
          <w:b/>
          <w:spacing w:val="0"/>
          <w:szCs w:val="24"/>
          <w:rtl/>
        </w:rPr>
      </w:pPr>
      <w:r w:rsidRPr="0049657A">
        <w:rPr>
          <w:rFonts w:ascii="Century" w:hAnsi="Century" w:cs="Miriam"/>
          <w:b/>
          <w:spacing w:val="0"/>
          <w:szCs w:val="24"/>
          <w:u w:val="single"/>
          <w:rtl/>
        </w:rPr>
        <w:t xml:space="preserve">השופט </w:t>
      </w:r>
      <w:r w:rsidRPr="0049657A">
        <w:rPr>
          <w:rFonts w:ascii="Century" w:hAnsi="Century" w:cs="Miriam" w:hint="cs"/>
          <w:b/>
          <w:spacing w:val="0"/>
          <w:szCs w:val="24"/>
          <w:u w:val="single"/>
          <w:rtl/>
        </w:rPr>
        <w:t>נ</w:t>
      </w:r>
      <w:r w:rsidRPr="0049657A">
        <w:rPr>
          <w:rFonts w:ascii="Century" w:hAnsi="Century" w:cs="Miriam"/>
          <w:b/>
          <w:spacing w:val="0"/>
          <w:szCs w:val="24"/>
          <w:u w:val="single"/>
          <w:rtl/>
        </w:rPr>
        <w:t xml:space="preserve">' </w:t>
      </w:r>
      <w:r w:rsidRPr="0049657A">
        <w:rPr>
          <w:rFonts w:ascii="Century" w:hAnsi="Century" w:cs="Miriam" w:hint="cs"/>
          <w:b/>
          <w:spacing w:val="0"/>
          <w:szCs w:val="24"/>
          <w:u w:val="single"/>
          <w:rtl/>
        </w:rPr>
        <w:t>סולברג</w:t>
      </w:r>
      <w:r w:rsidRPr="0049657A">
        <w:rPr>
          <w:rFonts w:ascii="Century" w:hAnsi="Century" w:cs="Miriam"/>
          <w:b/>
          <w:spacing w:val="0"/>
          <w:szCs w:val="24"/>
          <w:rtl/>
        </w:rPr>
        <w:t>:</w:t>
      </w:r>
    </w:p>
    <w:p w:rsidR="002539E8" w:rsidRDefault="002539E8" w:rsidP="002539E8">
      <w:pPr>
        <w:pStyle w:val="Ruller41"/>
        <w:spacing w:before="240" w:after="240"/>
        <w:rPr>
          <w:rtl/>
        </w:rPr>
      </w:pPr>
      <w:r>
        <w:rPr>
          <w:rFonts w:hint="cs"/>
          <w:rtl/>
        </w:rPr>
        <w:t>1.</w:t>
      </w:r>
      <w:r>
        <w:rPr>
          <w:rtl/>
        </w:rPr>
        <w:tab/>
        <w:t xml:space="preserve">אני </w:t>
      </w:r>
      <w:r>
        <w:rPr>
          <w:rFonts w:hint="cs"/>
          <w:rtl/>
        </w:rPr>
        <w:t xml:space="preserve">מסכים עם דברי </w:t>
      </w:r>
      <w:r>
        <w:rPr>
          <w:rtl/>
        </w:rPr>
        <w:t xml:space="preserve">חברי, השופט </w:t>
      </w:r>
      <w:r>
        <w:rPr>
          <w:rFonts w:ascii="Century" w:hAnsi="Century" w:cs="Miriam"/>
          <w:b/>
          <w:spacing w:val="0"/>
          <w:szCs w:val="24"/>
          <w:rtl/>
        </w:rPr>
        <w:t>ח' כבוב</w:t>
      </w:r>
      <w:r>
        <w:rPr>
          <w:rFonts w:hint="cs"/>
          <w:rtl/>
        </w:rPr>
        <w:t>; דעתי כדעתו</w:t>
      </w:r>
      <w:r>
        <w:rPr>
          <w:rtl/>
        </w:rPr>
        <w:t>.</w:t>
      </w:r>
    </w:p>
    <w:p w:rsidR="002539E8" w:rsidRDefault="002539E8" w:rsidP="002539E8">
      <w:pPr>
        <w:pStyle w:val="Ruller41"/>
        <w:spacing w:before="240" w:after="240"/>
        <w:rPr>
          <w:rtl/>
        </w:rPr>
      </w:pPr>
      <w:r>
        <w:rPr>
          <w:rFonts w:hint="cs"/>
          <w:rtl/>
        </w:rPr>
        <w:t>2.</w:t>
      </w:r>
      <w:r>
        <w:rPr>
          <w:rtl/>
        </w:rPr>
        <w:tab/>
        <w:t xml:space="preserve">בד בבד, בהמשך לדברים שציטט חברי מפיה של הנשיאה </w:t>
      </w:r>
      <w:r>
        <w:rPr>
          <w:rFonts w:ascii="Century" w:hAnsi="Century" w:cs="Miriam"/>
          <w:b/>
          <w:spacing w:val="0"/>
          <w:szCs w:val="24"/>
          <w:rtl/>
        </w:rPr>
        <w:t>א' חיות</w:t>
      </w:r>
      <w:r>
        <w:rPr>
          <w:rtl/>
        </w:rPr>
        <w:t xml:space="preserve"> ומפי-שלי בפסקה 44 לחוות דעתו, אציין עוד זאת: כזכור, למחרת ההדלפה הנדונה, ביום 16.11.2021, התקיים דיון בבית המשפט המחוזי. ב"כ הצדדים, מן התביעה ומן ההגנה כאחד, הביעו </w:t>
      </w:r>
      <w:r>
        <w:rPr>
          <w:rFonts w:ascii="Century" w:hAnsi="Century" w:cs="Miriam"/>
          <w:b/>
          <w:spacing w:val="0"/>
          <w:szCs w:val="24"/>
          <w:rtl/>
        </w:rPr>
        <w:t>"זעזוע"</w:t>
      </w:r>
      <w:r>
        <w:rPr>
          <w:rtl/>
        </w:rPr>
        <w:t xml:space="preserve"> מן ההדלפה. בית המשפט המחוזי ציין את החומרה שבדבר, </w:t>
      </w:r>
      <w:r>
        <w:rPr>
          <w:rFonts w:ascii="Century" w:hAnsi="Century" w:cs="Miriam"/>
          <w:b/>
          <w:spacing w:val="0"/>
          <w:szCs w:val="24"/>
          <w:rtl/>
        </w:rPr>
        <w:t>"לא ניתן לעבור על כך לסדר היום"</w:t>
      </w:r>
      <w:r>
        <w:rPr>
          <w:rtl/>
        </w:rPr>
        <w:t xml:space="preserve">; ב"כ התביעה אמרה שם בצד הבעת הזעזוע, </w:t>
      </w:r>
      <w:r>
        <w:rPr>
          <w:rFonts w:ascii="Century" w:hAnsi="Century" w:cs="Miriam"/>
          <w:b/>
          <w:spacing w:val="0"/>
          <w:szCs w:val="24"/>
          <w:rtl/>
        </w:rPr>
        <w:t>"אני חושבת שצריך לפנות בדחיפות ליועץ המשפטי לממשלה"</w:t>
      </w:r>
      <w:r>
        <w:rPr>
          <w:rtl/>
        </w:rPr>
        <w:t xml:space="preserve">; ובית המשפט המחוזי אמר בהחלטתו </w:t>
      </w:r>
      <w:r>
        <w:rPr>
          <w:rFonts w:ascii="Century" w:hAnsi="Century" w:cs="Miriam"/>
          <w:b/>
          <w:spacing w:val="0"/>
          <w:szCs w:val="24"/>
          <w:rtl/>
        </w:rPr>
        <w:t>"אנו מצפים מרשויות החקירה שיפעלו לברור העניין ושיעשו כל שנדרש כדי למנוע הדלפות בעתיד"</w:t>
      </w:r>
      <w:r>
        <w:rPr>
          <w:rtl/>
        </w:rPr>
        <w:t xml:space="preserve">. כשלעצמי, אילו נדרשתי לְיָישֵּׂם את אמות-המידה המעוגנות בהנחיית היועץ המשפטי לממשלה מס' 4.1114 ("קווים מנחים למדיניות אכיפה בעבירות הנוגעות </w:t>
      </w:r>
      <w:r>
        <w:rPr>
          <w:rtl/>
        </w:rPr>
        <w:lastRenderedPageBreak/>
        <w:t>למסירת מידע האסור בגילוי") על נסיבות העניין דנן, אינני משוכנע כי הייתי גם אני מחליט שלא להורות על פתיחה בחקירה פלילית. ברם, לא הוּתר לי לבוא בנעליה של היועצת המשפטית לממשלה, ולא אעשה כן.</w:t>
      </w:r>
    </w:p>
    <w:p w:rsidR="002539E8" w:rsidRDefault="002539E8" w:rsidP="002539E8">
      <w:pPr>
        <w:pStyle w:val="Ruller41"/>
        <w:spacing w:before="240" w:after="240"/>
        <w:rPr>
          <w:rtl/>
        </w:rPr>
      </w:pPr>
      <w:r>
        <w:rPr>
          <w:rFonts w:hint="cs"/>
          <w:rtl/>
        </w:rPr>
        <w:t>3.</w:t>
      </w:r>
      <w:r>
        <w:rPr>
          <w:rtl/>
        </w:rPr>
        <w:tab/>
        <w:t>טוב עשתה היועצת המשפטית במינוי גורם חיצוני בכיר ומיומן בנושא הנדון, לקיים עבודת מטה ולהמליץ על צעדים מעשיים לשם מניעת מסירת מידע וסגירת פרצות. בהקשרהּ של עבודת מטה זו, אציין, כלקח מן העניין שעל הפרק</w:t>
      </w:r>
      <w:r>
        <w:rPr>
          <w:rFonts w:hint="cs"/>
          <w:rtl/>
        </w:rPr>
        <w:t>,</w:t>
      </w:r>
      <w:r>
        <w:rPr>
          <w:rtl/>
        </w:rPr>
        <w:t xml:space="preserve"> ודומים לו בעבר, כי לעיתים </w:t>
      </w:r>
      <w:r>
        <w:rPr>
          <w:rFonts w:ascii="Century" w:hAnsi="Century" w:cs="Miriam"/>
          <w:b/>
          <w:spacing w:val="0"/>
          <w:szCs w:val="24"/>
          <w:rtl/>
        </w:rPr>
        <w:t xml:space="preserve">"זריז עדיף מזהיר" </w:t>
      </w:r>
      <w:r>
        <w:rPr>
          <w:rtl/>
        </w:rPr>
        <w:t xml:space="preserve">(רש"י, בבלי, חולין </w:t>
      </w:r>
      <w:proofErr w:type="spellStart"/>
      <w:r>
        <w:rPr>
          <w:rtl/>
        </w:rPr>
        <w:t>קז</w:t>
      </w:r>
      <w:proofErr w:type="spellEnd"/>
      <w:r>
        <w:rPr>
          <w:rtl/>
        </w:rPr>
        <w:t xml:space="preserve">, ב). אסביר: מילת המפתח בתגובה לעתירה, היא </w:t>
      </w:r>
      <w:r>
        <w:rPr>
          <w:rFonts w:ascii="Century" w:hAnsi="Century" w:cs="Miriam"/>
          <w:b/>
          <w:spacing w:val="0"/>
          <w:szCs w:val="24"/>
          <w:rtl/>
        </w:rPr>
        <w:t>זהירות</w:t>
      </w:r>
      <w:r>
        <w:rPr>
          <w:rFonts w:ascii="Century" w:hAnsi="Century"/>
          <w:rtl/>
        </w:rPr>
        <w:t>.</w:t>
      </w:r>
      <w:r>
        <w:rPr>
          <w:rtl/>
        </w:rPr>
        <w:t xml:space="preserve"> התגובה משופעת באמירות על חשש מפני פגיעה חלילה בחפים מפשע, בעורכי-דין, בעדים, בעובדי מדינה, באינטרסים ציבוריים חשובים, בזכויות הפרט; חשש להחשדת הרבים, לפגיעה בפרטיות, לשימוש באמצעים פוגעניים; חשש מפני פגיעה בזכות הציבור לדעת, בחיסיון העיתונאי, בחופש העיסוק ועוד חששות לרוב. שוב ושוב מוּשׂם הדגש על הצורך ב</w:t>
      </w:r>
      <w:r>
        <w:rPr>
          <w:rFonts w:ascii="Century" w:hAnsi="Century" w:cs="Miriam"/>
          <w:b/>
          <w:spacing w:val="0"/>
          <w:szCs w:val="24"/>
          <w:rtl/>
        </w:rPr>
        <w:t>מדיניות זהירה</w:t>
      </w:r>
      <w:r>
        <w:rPr>
          <w:rtl/>
        </w:rPr>
        <w:t xml:space="preserve">. לגבי </w:t>
      </w:r>
      <w:proofErr w:type="spellStart"/>
      <w:r>
        <w:rPr>
          <w:rtl/>
        </w:rPr>
        <w:t>דידי</w:t>
      </w:r>
      <w:proofErr w:type="spellEnd"/>
      <w:r>
        <w:rPr>
          <w:rtl/>
        </w:rPr>
        <w:t>, '</w:t>
      </w:r>
      <w:proofErr w:type="spellStart"/>
      <w:r>
        <w:rPr>
          <w:rtl/>
        </w:rPr>
        <w:t>הכל</w:t>
      </w:r>
      <w:proofErr w:type="spellEnd"/>
      <w:r>
        <w:rPr>
          <w:rtl/>
        </w:rPr>
        <w:t xml:space="preserve"> טוב'. ה</w:t>
      </w:r>
      <w:r>
        <w:rPr>
          <w:rFonts w:ascii="Century" w:hAnsi="Century" w:cs="Miriam"/>
          <w:b/>
          <w:spacing w:val="0"/>
          <w:szCs w:val="24"/>
          <w:rtl/>
        </w:rPr>
        <w:t>זהירות</w:t>
      </w:r>
      <w:r>
        <w:rPr>
          <w:rtl/>
        </w:rPr>
        <w:t xml:space="preserve"> אכן הכרחית וחשובה, אך מוטב שלא לנקוט </w:t>
      </w:r>
      <w:proofErr w:type="spellStart"/>
      <w:r>
        <w:rPr>
          <w:rtl/>
        </w:rPr>
        <w:t>בִּזְהִירֵי</w:t>
      </w:r>
      <w:proofErr w:type="spellEnd"/>
      <w:r>
        <w:rPr>
          <w:rtl/>
        </w:rPr>
        <w:t xml:space="preserve"> זהירות (זהירות יתרה). החמרה יתרה במידת הזהירות הנדרשת, צפויה להביא לסתימת הגולל על חקירה יעילה וטיפול הולם ברעה החולה של 'הדלפות'. ה</w:t>
      </w:r>
      <w:r>
        <w:rPr>
          <w:rFonts w:ascii="Century" w:hAnsi="Century" w:cs="Miriam"/>
          <w:b/>
          <w:spacing w:val="0"/>
          <w:szCs w:val="24"/>
          <w:rtl/>
        </w:rPr>
        <w:t>זהירות</w:t>
      </w:r>
      <w:r>
        <w:rPr>
          <w:rtl/>
        </w:rPr>
        <w:t xml:space="preserve"> בפרשה הנדונה, הביאה לידי כך שכ-14 חודשים חלפו מיום הגשת התלונה ועד אשר ניתנה החלטה. יועץ משפטי לממשלה הלך, יועצת משפטית לממשלה באה, כוונותיהם רצויות, אך צוק העיתים בעוכרי העניין. חקירה אפקטיבית </w:t>
      </w:r>
      <w:proofErr w:type="spellStart"/>
      <w:r>
        <w:rPr>
          <w:rtl/>
        </w:rPr>
        <w:t>בכגון</w:t>
      </w:r>
      <w:proofErr w:type="spellEnd"/>
      <w:r>
        <w:rPr>
          <w:rtl/>
        </w:rPr>
        <w:t xml:space="preserve"> דא, קשה עד בלתי אפשרי לעשות בחלוף פרק זמן שכזה. יש לקוות שבעבודת המטה שעליה דוּבּר, תינתן הדעת גם על הצורך בקיצור </w:t>
      </w:r>
      <w:proofErr w:type="spellStart"/>
      <w:r>
        <w:rPr>
          <w:rtl/>
        </w:rPr>
        <w:t>קבועי</w:t>
      </w:r>
      <w:proofErr w:type="spellEnd"/>
      <w:r>
        <w:rPr>
          <w:rtl/>
        </w:rPr>
        <w:t xml:space="preserve">-הזמן. כאמור, ממקורותינו למדנו שלעיתים </w:t>
      </w:r>
      <w:r>
        <w:rPr>
          <w:rFonts w:ascii="Century" w:hAnsi="Century" w:cs="Miriam"/>
          <w:b/>
          <w:spacing w:val="0"/>
          <w:szCs w:val="24"/>
          <w:rtl/>
        </w:rPr>
        <w:t>"זריז עדיף מזהיר"</w:t>
      </w:r>
      <w:r>
        <w:rPr>
          <w:rtl/>
        </w:rPr>
        <w:t xml:space="preserve">, אותו זריז שיודע, ולוּ במידה </w:t>
      </w:r>
      <w:proofErr w:type="spellStart"/>
      <w:r>
        <w:rPr>
          <w:rtl/>
        </w:rPr>
        <w:t>מסויימת</w:t>
      </w:r>
      <w:proofErr w:type="spellEnd"/>
      <w:r>
        <w:rPr>
          <w:rtl/>
        </w:rPr>
        <w:t xml:space="preserve">, לראות את הנולד, להתקין עצמו בפרוזדור, כדי שעד מהרה יכנס לטרקלין; </w:t>
      </w:r>
      <w:r>
        <w:rPr>
          <w:rFonts w:ascii="Century" w:hAnsi="Century" w:cs="Miriam"/>
          <w:b/>
          <w:spacing w:val="0"/>
          <w:szCs w:val="24"/>
          <w:rtl/>
        </w:rPr>
        <w:t>"זהירות מביאה לידי זריזות"</w:t>
      </w:r>
      <w:r>
        <w:rPr>
          <w:rtl/>
        </w:rPr>
        <w:t xml:space="preserve"> (בבלי, עבודה זרה כ, ב). יש לעמוד על המשמר, שאם לא כן </w:t>
      </w:r>
      <w:r>
        <w:rPr>
          <w:rFonts w:ascii="Century" w:hAnsi="Century" w:cs="Miriam"/>
          <w:b/>
          <w:spacing w:val="0"/>
          <w:szCs w:val="24"/>
          <w:rtl/>
        </w:rPr>
        <w:t>"</w:t>
      </w:r>
      <w:proofErr w:type="spellStart"/>
      <w:r>
        <w:rPr>
          <w:rFonts w:ascii="Century" w:hAnsi="Century" w:cs="Miriam"/>
          <w:b/>
          <w:spacing w:val="0"/>
          <w:szCs w:val="24"/>
          <w:rtl/>
        </w:rPr>
        <w:t>בַּעֲצַלְתַּיִם</w:t>
      </w:r>
      <w:proofErr w:type="spellEnd"/>
      <w:r>
        <w:rPr>
          <w:rFonts w:ascii="Century" w:hAnsi="Century" w:cs="Miriam"/>
          <w:b/>
          <w:spacing w:val="0"/>
          <w:szCs w:val="24"/>
          <w:rtl/>
        </w:rPr>
        <w:t xml:space="preserve"> יִמַּךְ הַמְּקָרֶה וּבְשִׁפְלוּת </w:t>
      </w:r>
      <w:proofErr w:type="spellStart"/>
      <w:r>
        <w:rPr>
          <w:rFonts w:ascii="Century" w:hAnsi="Century" w:cs="Miriam"/>
          <w:b/>
          <w:spacing w:val="0"/>
          <w:szCs w:val="24"/>
          <w:rtl/>
        </w:rPr>
        <w:t>יָדַיִם</w:t>
      </w:r>
      <w:proofErr w:type="spellEnd"/>
      <w:r>
        <w:rPr>
          <w:rFonts w:ascii="Century" w:hAnsi="Century" w:cs="Miriam"/>
          <w:b/>
          <w:spacing w:val="0"/>
          <w:szCs w:val="24"/>
          <w:rtl/>
        </w:rPr>
        <w:t xml:space="preserve"> </w:t>
      </w:r>
      <w:proofErr w:type="spellStart"/>
      <w:r>
        <w:rPr>
          <w:rFonts w:ascii="Century" w:hAnsi="Century" w:cs="Miriam"/>
          <w:b/>
          <w:spacing w:val="0"/>
          <w:szCs w:val="24"/>
          <w:rtl/>
        </w:rPr>
        <w:t>יִדְלֹף</w:t>
      </w:r>
      <w:proofErr w:type="spellEnd"/>
      <w:r>
        <w:rPr>
          <w:rFonts w:ascii="Century" w:hAnsi="Century" w:cs="Miriam"/>
          <w:b/>
          <w:spacing w:val="0"/>
          <w:szCs w:val="24"/>
          <w:rtl/>
        </w:rPr>
        <w:t xml:space="preserve"> הַבָּיִת" </w:t>
      </w:r>
      <w:r>
        <w:rPr>
          <w:rtl/>
        </w:rPr>
        <w:t xml:space="preserve">(קהלת י, </w:t>
      </w:r>
      <w:proofErr w:type="spellStart"/>
      <w:r>
        <w:rPr>
          <w:rtl/>
        </w:rPr>
        <w:t>יח</w:t>
      </w:r>
      <w:proofErr w:type="spellEnd"/>
      <w:r>
        <w:rPr>
          <w:rtl/>
        </w:rPr>
        <w:t>). הזריזות נחוצה, לא פחות מן הזהירות, מחמת פגיעתה הרעה של ההדלפה. הדֶּלֶף פוגע בבית כולו.</w:t>
      </w:r>
    </w:p>
    <w:p w:rsidR="002539E8" w:rsidRDefault="002539E8" w:rsidP="002539E8">
      <w:pPr>
        <w:pStyle w:val="Ruller4"/>
        <w:numPr>
          <w:ilvl w:val="0"/>
          <w:numId w:val="0"/>
        </w:numPr>
        <w:spacing w:before="240" w:after="240"/>
        <w:rPr>
          <w:rtl/>
        </w:rPr>
      </w:pPr>
      <w:r>
        <w:rPr>
          <w:rFonts w:hint="cs"/>
          <w:rtl/>
        </w:rPr>
        <w:t>4.</w:t>
      </w:r>
      <w:r>
        <w:rPr>
          <w:rtl/>
        </w:rPr>
        <w:tab/>
      </w:r>
      <w:r>
        <w:rPr>
          <w:rFonts w:hint="cs"/>
          <w:rtl/>
        </w:rPr>
        <w:t xml:space="preserve">הערת שוליים: אחר הדברים האלה, קראתי את דברי חברתי, השופטת </w:t>
      </w:r>
      <w:r>
        <w:rPr>
          <w:rFonts w:ascii="Century" w:hAnsi="Century" w:cs="Miriam" w:hint="cs"/>
          <w:b/>
          <w:spacing w:val="0"/>
          <w:sz w:val="22"/>
          <w:szCs w:val="24"/>
          <w:rtl/>
        </w:rPr>
        <w:t xml:space="preserve">ד' </w:t>
      </w:r>
      <w:r w:rsidRPr="00E631CC">
        <w:rPr>
          <w:rFonts w:ascii="Century" w:hAnsi="Century" w:cs="Miriam" w:hint="cs"/>
          <w:b/>
          <w:spacing w:val="0"/>
          <w:sz w:val="22"/>
          <w:szCs w:val="24"/>
          <w:rtl/>
        </w:rPr>
        <w:t>ברק-ארז</w:t>
      </w:r>
      <w:r>
        <w:rPr>
          <w:rFonts w:hint="cs"/>
          <w:rtl/>
        </w:rPr>
        <w:t xml:space="preserve">, אשר ראתה לנכון לפרושׂ, ולוּ בקצרה, את משנתה-שלה ביחס לעילת הסבירות. דעות והשקפות אחרות, היו כלא היו. מכל מקום, בשים לב לכך שבעתירה דנן כלל לא התחדדה שאלת טיבהּ והיקפהּ של עילת הסבירות </w:t>
      </w:r>
      <w:r>
        <w:rPr>
          <w:rtl/>
        </w:rPr>
        <w:t>–</w:t>
      </w:r>
      <w:r>
        <w:rPr>
          <w:rFonts w:hint="cs"/>
          <w:rtl/>
        </w:rPr>
        <w:t xml:space="preserve"> לא בעתירה ולא בתגובה </w:t>
      </w:r>
      <w:r>
        <w:rPr>
          <w:rtl/>
        </w:rPr>
        <w:t>–</w:t>
      </w:r>
      <w:r>
        <w:rPr>
          <w:rFonts w:hint="cs"/>
          <w:rtl/>
        </w:rPr>
        <w:t xml:space="preserve"> אינני סבור שזהו המקום וזוהי השעה לעשות כן; מוטב לנו שלא נעשה את העתירה כבִּקעה להתגדר בה. גם </w:t>
      </w:r>
      <w:r w:rsidRPr="00FA2BAC">
        <w:rPr>
          <w:rFonts w:hint="cs"/>
          <w:rtl/>
        </w:rPr>
        <w:t xml:space="preserve">אין הצדקה להסיט את מרכז-הכובד של דיוננו מן ההדלפה, אל הסבירות. צדק בהקשר זה חברי, השופט </w:t>
      </w:r>
      <w:r w:rsidRPr="00FA2BAC">
        <w:rPr>
          <w:rFonts w:ascii="Century" w:hAnsi="Century" w:cs="Miriam" w:hint="cs"/>
          <w:b/>
          <w:spacing w:val="0"/>
          <w:sz w:val="22"/>
          <w:szCs w:val="24"/>
          <w:rtl/>
        </w:rPr>
        <w:t>ח' כבוב</w:t>
      </w:r>
      <w:r w:rsidRPr="00FA2BAC">
        <w:rPr>
          <w:rFonts w:hint="cs"/>
          <w:rtl/>
        </w:rPr>
        <w:t>, לא רק במסקנתו, אלא גם בדרך-הילוכו.</w:t>
      </w:r>
      <w:r>
        <w:rPr>
          <w:rFonts w:hint="cs"/>
          <w:rtl/>
        </w:rPr>
        <w:t xml:space="preserve"> ובכל זאת, מתחייבת הערה קצרה. לדברי חברתי, </w:t>
      </w:r>
      <w:r w:rsidRPr="008117A3">
        <w:rPr>
          <w:rFonts w:ascii="Century" w:hAnsi="Century" w:cs="Miriam" w:hint="cs"/>
          <w:b/>
          <w:spacing w:val="0"/>
          <w:sz w:val="22"/>
          <w:szCs w:val="24"/>
          <w:rtl/>
        </w:rPr>
        <w:t>"</w:t>
      </w:r>
      <w:r w:rsidRPr="00D1797B">
        <w:rPr>
          <w:rFonts w:ascii="Century" w:hAnsi="Century" w:cs="Miriam" w:hint="cs"/>
          <w:b/>
          <w:spacing w:val="0"/>
          <w:sz w:val="22"/>
          <w:szCs w:val="24"/>
          <w:rtl/>
        </w:rPr>
        <w:t xml:space="preserve">ללא עילת הסבירות הכללית כחלק בלתי נפרד מעילות הביקורת של המשפט </w:t>
      </w:r>
      <w:proofErr w:type="spellStart"/>
      <w:r w:rsidRPr="00D1797B">
        <w:rPr>
          <w:rFonts w:ascii="Century" w:hAnsi="Century" w:cs="Miriam" w:hint="cs"/>
          <w:b/>
          <w:spacing w:val="0"/>
          <w:sz w:val="22"/>
          <w:szCs w:val="24"/>
          <w:rtl/>
        </w:rPr>
        <w:t>המינהלי</w:t>
      </w:r>
      <w:proofErr w:type="spellEnd"/>
      <w:r w:rsidRPr="00D1797B">
        <w:rPr>
          <w:rFonts w:ascii="Century" w:hAnsi="Century" w:cs="Miriam" w:hint="cs"/>
          <w:b/>
          <w:spacing w:val="0"/>
          <w:sz w:val="22"/>
          <w:szCs w:val="24"/>
          <w:rtl/>
        </w:rPr>
        <w:t>, לא הייתה תקומה לעתירה זו ולעתירות דומות לה</w:t>
      </w:r>
      <w:r w:rsidRPr="00F71E2B">
        <w:rPr>
          <w:rFonts w:ascii="Century" w:hAnsi="Century" w:cs="Miriam"/>
          <w:b/>
          <w:spacing w:val="0"/>
          <w:sz w:val="22"/>
          <w:szCs w:val="24"/>
          <w:rtl/>
        </w:rPr>
        <w:t>"</w:t>
      </w:r>
      <w:r>
        <w:rPr>
          <w:rFonts w:hint="cs"/>
          <w:rtl/>
        </w:rPr>
        <w:t xml:space="preserve">. ביחס </w:t>
      </w:r>
      <w:r>
        <w:rPr>
          <w:rFonts w:hint="cs"/>
          <w:rtl/>
        </w:rPr>
        <w:lastRenderedPageBreak/>
        <w:t xml:space="preserve">לדברים הללו, כדאי לזכור ולהזכיר, כי הגם שעילת הסבירות הלכה והתפשטה, ולדברי הנשיא </w:t>
      </w:r>
      <w:r w:rsidRPr="00071490">
        <w:rPr>
          <w:rFonts w:ascii="Century" w:hAnsi="Century" w:cs="Miriam" w:hint="cs"/>
          <w:b/>
          <w:spacing w:val="0"/>
          <w:sz w:val="22"/>
          <w:szCs w:val="24"/>
          <w:rtl/>
        </w:rPr>
        <w:t xml:space="preserve">א' </w:t>
      </w:r>
      <w:proofErr w:type="spellStart"/>
      <w:r w:rsidRPr="00071490">
        <w:rPr>
          <w:rFonts w:ascii="Century" w:hAnsi="Century" w:cs="Miriam" w:hint="cs"/>
          <w:b/>
          <w:spacing w:val="0"/>
          <w:sz w:val="22"/>
          <w:szCs w:val="24"/>
          <w:rtl/>
        </w:rPr>
        <w:t>גרוניס</w:t>
      </w:r>
      <w:proofErr w:type="spellEnd"/>
      <w:r>
        <w:rPr>
          <w:rFonts w:hint="cs"/>
          <w:rtl/>
        </w:rPr>
        <w:t xml:space="preserve">, </w:t>
      </w:r>
      <w:r w:rsidRPr="00071490">
        <w:rPr>
          <w:rFonts w:ascii="Century" w:hAnsi="Century" w:cs="Miriam"/>
          <w:b/>
          <w:spacing w:val="0"/>
          <w:sz w:val="22"/>
          <w:szCs w:val="24"/>
          <w:rtl/>
        </w:rPr>
        <w:t>"בלעה לתוכה, כאדם שאינו יודע שובע, עילות פרטיקולריות שהוכרו בעבר</w:t>
      </w:r>
      <w:r>
        <w:rPr>
          <w:rFonts w:ascii="Century" w:hAnsi="Century" w:cs="Miriam" w:hint="cs"/>
          <w:b/>
          <w:spacing w:val="0"/>
          <w:sz w:val="22"/>
          <w:szCs w:val="24"/>
          <w:rtl/>
        </w:rPr>
        <w:t>"</w:t>
      </w:r>
      <w:r>
        <w:rPr>
          <w:rFonts w:hint="cs"/>
          <w:rtl/>
        </w:rPr>
        <w:t xml:space="preserve"> (</w:t>
      </w:r>
      <w:r w:rsidRPr="007514F2">
        <w:rPr>
          <w:rFonts w:hint="eastAsia"/>
          <w:rtl/>
        </w:rPr>
        <w:t>בג</w:t>
      </w:r>
      <w:r w:rsidRPr="007514F2">
        <w:rPr>
          <w:rtl/>
        </w:rPr>
        <w:t>"</w:t>
      </w:r>
      <w:r w:rsidRPr="007514F2">
        <w:rPr>
          <w:rFonts w:hint="eastAsia"/>
          <w:rtl/>
        </w:rPr>
        <w:t>ץ</w:t>
      </w:r>
      <w:r w:rsidRPr="007514F2">
        <w:rPr>
          <w:rtl/>
        </w:rPr>
        <w:t xml:space="preserve"> 5853/07 </w:t>
      </w:r>
      <w:r w:rsidRPr="007514F2">
        <w:rPr>
          <w:rFonts w:ascii="Century" w:hAnsi="Century" w:cs="Miriam" w:hint="eastAsia"/>
          <w:b/>
          <w:spacing w:val="0"/>
          <w:sz w:val="22"/>
          <w:szCs w:val="24"/>
          <w:rtl/>
        </w:rPr>
        <w:t>אמונה</w:t>
      </w:r>
      <w:r>
        <w:rPr>
          <w:rFonts w:ascii="Century" w:hAnsi="Century" w:cs="Miriam" w:hint="cs"/>
          <w:b/>
          <w:spacing w:val="0"/>
          <w:sz w:val="22"/>
          <w:szCs w:val="24"/>
          <w:rtl/>
        </w:rPr>
        <w:t xml:space="preserve"> </w:t>
      </w:r>
      <w:r w:rsidRPr="00726844">
        <w:rPr>
          <w:rFonts w:ascii="Century" w:hAnsi="Century"/>
          <w:sz w:val="22"/>
          <w:rtl/>
        </w:rPr>
        <w:t>–</w:t>
      </w:r>
      <w:r>
        <w:rPr>
          <w:rFonts w:ascii="Century" w:hAnsi="Century" w:cs="Miriam" w:hint="cs"/>
          <w:b/>
          <w:spacing w:val="0"/>
          <w:sz w:val="22"/>
          <w:szCs w:val="24"/>
          <w:rtl/>
        </w:rPr>
        <w:t xml:space="preserve"> </w:t>
      </w:r>
      <w:r w:rsidRPr="007514F2">
        <w:rPr>
          <w:rFonts w:ascii="Century" w:hAnsi="Century" w:cs="Miriam" w:hint="eastAsia"/>
          <w:b/>
          <w:spacing w:val="0"/>
          <w:sz w:val="22"/>
          <w:szCs w:val="24"/>
          <w:rtl/>
        </w:rPr>
        <w:t>תנועת</w:t>
      </w:r>
      <w:r w:rsidRPr="007514F2">
        <w:rPr>
          <w:rFonts w:ascii="Century" w:hAnsi="Century" w:cs="Miriam"/>
          <w:b/>
          <w:spacing w:val="0"/>
          <w:sz w:val="22"/>
          <w:szCs w:val="24"/>
          <w:rtl/>
        </w:rPr>
        <w:t xml:space="preserve"> </w:t>
      </w:r>
      <w:r w:rsidRPr="007514F2">
        <w:rPr>
          <w:rFonts w:ascii="Century" w:hAnsi="Century" w:cs="Miriam" w:hint="eastAsia"/>
          <w:b/>
          <w:spacing w:val="0"/>
          <w:sz w:val="22"/>
          <w:szCs w:val="24"/>
          <w:rtl/>
        </w:rPr>
        <w:t>האישה</w:t>
      </w:r>
      <w:r w:rsidRPr="007514F2">
        <w:rPr>
          <w:rFonts w:ascii="Century" w:hAnsi="Century" w:cs="Miriam"/>
          <w:b/>
          <w:spacing w:val="0"/>
          <w:sz w:val="22"/>
          <w:szCs w:val="24"/>
          <w:rtl/>
        </w:rPr>
        <w:t xml:space="preserve"> </w:t>
      </w:r>
      <w:r w:rsidRPr="007514F2">
        <w:rPr>
          <w:rFonts w:ascii="Century" w:hAnsi="Century" w:cs="Miriam" w:hint="eastAsia"/>
          <w:b/>
          <w:spacing w:val="0"/>
          <w:sz w:val="22"/>
          <w:szCs w:val="24"/>
          <w:rtl/>
        </w:rPr>
        <w:t>הדתית</w:t>
      </w:r>
      <w:r w:rsidRPr="007514F2">
        <w:rPr>
          <w:rFonts w:ascii="Century" w:hAnsi="Century" w:cs="Miriam"/>
          <w:b/>
          <w:spacing w:val="0"/>
          <w:sz w:val="22"/>
          <w:szCs w:val="24"/>
          <w:rtl/>
        </w:rPr>
        <w:t xml:space="preserve"> </w:t>
      </w:r>
      <w:r w:rsidRPr="007514F2">
        <w:rPr>
          <w:rFonts w:ascii="Century" w:hAnsi="Century" w:cs="Miriam" w:hint="eastAsia"/>
          <w:b/>
          <w:spacing w:val="0"/>
          <w:sz w:val="22"/>
          <w:szCs w:val="24"/>
          <w:rtl/>
        </w:rPr>
        <w:t>לאומית</w:t>
      </w:r>
      <w:r w:rsidRPr="007514F2">
        <w:rPr>
          <w:rFonts w:ascii="Century" w:hAnsi="Century" w:cs="Miriam"/>
          <w:b/>
          <w:spacing w:val="0"/>
          <w:sz w:val="22"/>
          <w:szCs w:val="24"/>
          <w:rtl/>
        </w:rPr>
        <w:t xml:space="preserve"> </w:t>
      </w:r>
      <w:r w:rsidRPr="007514F2">
        <w:rPr>
          <w:rFonts w:ascii="Century" w:hAnsi="Century" w:cs="Miriam" w:hint="eastAsia"/>
          <w:b/>
          <w:spacing w:val="0"/>
          <w:sz w:val="22"/>
          <w:szCs w:val="24"/>
          <w:rtl/>
        </w:rPr>
        <w:t>נ</w:t>
      </w:r>
      <w:r w:rsidRPr="007514F2">
        <w:rPr>
          <w:rFonts w:ascii="Century" w:hAnsi="Century" w:cs="Miriam"/>
          <w:b/>
          <w:spacing w:val="0"/>
          <w:sz w:val="22"/>
          <w:szCs w:val="24"/>
          <w:rtl/>
        </w:rPr>
        <w:t xml:space="preserve">' </w:t>
      </w:r>
      <w:r w:rsidRPr="007514F2">
        <w:rPr>
          <w:rFonts w:ascii="Century" w:hAnsi="Century" w:cs="Miriam" w:hint="eastAsia"/>
          <w:b/>
          <w:spacing w:val="0"/>
          <w:sz w:val="22"/>
          <w:szCs w:val="24"/>
          <w:rtl/>
        </w:rPr>
        <w:t>ראש</w:t>
      </w:r>
      <w:r w:rsidRPr="007514F2">
        <w:rPr>
          <w:rFonts w:ascii="Century" w:hAnsi="Century" w:cs="Miriam"/>
          <w:b/>
          <w:spacing w:val="0"/>
          <w:sz w:val="22"/>
          <w:szCs w:val="24"/>
          <w:rtl/>
        </w:rPr>
        <w:t xml:space="preserve"> </w:t>
      </w:r>
      <w:r w:rsidRPr="007514F2">
        <w:rPr>
          <w:rFonts w:ascii="Century" w:hAnsi="Century" w:cs="Miriam" w:hint="eastAsia"/>
          <w:b/>
          <w:spacing w:val="0"/>
          <w:sz w:val="22"/>
          <w:szCs w:val="24"/>
          <w:rtl/>
        </w:rPr>
        <w:t>הממשלה</w:t>
      </w:r>
      <w:r>
        <w:rPr>
          <w:rFonts w:hint="cs"/>
          <w:rtl/>
        </w:rPr>
        <w:t xml:space="preserve">, פסקה 9 </w:t>
      </w:r>
      <w:r w:rsidRPr="007514F2">
        <w:rPr>
          <w:rtl/>
        </w:rPr>
        <w:t>(6.12.2007)</w:t>
      </w:r>
      <w:r>
        <w:rPr>
          <w:rFonts w:hint="cs"/>
          <w:rtl/>
        </w:rPr>
        <w:t xml:space="preserve">); </w:t>
      </w:r>
      <w:r w:rsidRPr="00FA2BAC">
        <w:rPr>
          <w:rFonts w:hint="cs"/>
          <w:rtl/>
        </w:rPr>
        <w:t xml:space="preserve">עדיין, עילה זו </w:t>
      </w:r>
      <w:r w:rsidRPr="00FA2BAC">
        <w:rPr>
          <w:rtl/>
        </w:rPr>
        <w:t>–</w:t>
      </w:r>
      <w:r w:rsidRPr="00FA2BAC">
        <w:rPr>
          <w:rFonts w:hint="cs"/>
          <w:rtl/>
        </w:rPr>
        <w:t xml:space="preserve"> בעלת חשיבות, אך לוקה בבעייתיות </w:t>
      </w:r>
      <w:r w:rsidRPr="00FA2BAC">
        <w:rPr>
          <w:rtl/>
        </w:rPr>
        <w:t>–</w:t>
      </w:r>
      <w:r w:rsidRPr="00FA2BAC">
        <w:rPr>
          <w:rFonts w:hint="cs"/>
          <w:rtl/>
        </w:rPr>
        <w:t xml:space="preserve"> אינה חזות </w:t>
      </w:r>
      <w:proofErr w:type="spellStart"/>
      <w:r w:rsidRPr="00FA2BAC">
        <w:rPr>
          <w:rFonts w:hint="cs"/>
          <w:rtl/>
        </w:rPr>
        <w:t>הכל</w:t>
      </w:r>
      <w:proofErr w:type="spellEnd"/>
      <w:r w:rsidRPr="00FA2BAC">
        <w:rPr>
          <w:rFonts w:hint="cs"/>
          <w:rtl/>
        </w:rPr>
        <w:t>;</w:t>
      </w:r>
      <w:r w:rsidRPr="00551008">
        <w:rPr>
          <w:rFonts w:hint="cs"/>
          <w:rtl/>
        </w:rPr>
        <w:t xml:space="preserve"> לבטח אינה תנאי בלעדיו-איִן לתקומתן של עתירות מסוגהּ של העתירה שלפנינו. ביקורת שיפוטית על החלטת היועצת המשפטית לממשלה</w:t>
      </w:r>
      <w:r>
        <w:rPr>
          <w:rFonts w:hint="cs"/>
          <w:rtl/>
        </w:rPr>
        <w:t xml:space="preserve">, בתחום אכיפת המשפט הפלילי ובכלל, איננה תחוּמה אך ורק לד' אמותיה של עילת הסבירות. לא בכדי, גם בעתירה שלפנינו נטען, בין היתר, על הימנעות משקילת שיקולים רלבנטיים (סעיף 103 לעתירה המתוקנת), על ניגוד עניינים (פסקה 57 לחוות דעתו של חברי, השופט </w:t>
      </w:r>
      <w:r>
        <w:rPr>
          <w:rFonts w:ascii="Century" w:hAnsi="Century" w:cs="Miriam" w:hint="cs"/>
          <w:b/>
          <w:spacing w:val="0"/>
          <w:sz w:val="22"/>
          <w:szCs w:val="24"/>
          <w:rtl/>
        </w:rPr>
        <w:t xml:space="preserve">ח' </w:t>
      </w:r>
      <w:r w:rsidRPr="008117A3">
        <w:rPr>
          <w:rFonts w:ascii="Century" w:hAnsi="Century" w:cs="Miriam" w:hint="cs"/>
          <w:b/>
          <w:spacing w:val="0"/>
          <w:sz w:val="22"/>
          <w:szCs w:val="24"/>
          <w:rtl/>
        </w:rPr>
        <w:t>כבוב</w:t>
      </w:r>
      <w:r>
        <w:rPr>
          <w:rFonts w:hint="cs"/>
          <w:rtl/>
        </w:rPr>
        <w:t xml:space="preserve">), וטענות נוספות. גם אלה אינן ממצות את ארסנל העילות </w:t>
      </w:r>
      <w:proofErr w:type="spellStart"/>
      <w:r>
        <w:rPr>
          <w:rFonts w:hint="cs"/>
          <w:rtl/>
        </w:rPr>
        <w:t>המינהליות</w:t>
      </w:r>
      <w:proofErr w:type="spellEnd"/>
      <w:r>
        <w:rPr>
          <w:rFonts w:hint="cs"/>
          <w:rtl/>
        </w:rPr>
        <w:t xml:space="preserve"> המסורתיות הנוהגות </w:t>
      </w:r>
      <w:proofErr w:type="spellStart"/>
      <w:r>
        <w:rPr>
          <w:rFonts w:hint="cs"/>
          <w:rtl/>
        </w:rPr>
        <w:t>עימנו</w:t>
      </w:r>
      <w:proofErr w:type="spellEnd"/>
      <w:r>
        <w:rPr>
          <w:rFonts w:hint="cs"/>
          <w:rtl/>
        </w:rPr>
        <w:t xml:space="preserve"> מימים ימימה, ובכולן ניתן לתקוע יתד נאמן.  </w:t>
      </w:r>
    </w:p>
    <w:p w:rsidR="002801EB" w:rsidRPr="002801EB" w:rsidRDefault="002801EB" w:rsidP="002801EB">
      <w:pPr>
        <w:pStyle w:val="Ruller41"/>
        <w:rPr>
          <w:rtl/>
        </w:rPr>
      </w:pPr>
    </w:p>
    <w:p w:rsidR="00DB6151" w:rsidRPr="00DB1AA8" w:rsidRDefault="00F10301" w:rsidP="00DB6151">
      <w:pPr>
        <w:spacing w:line="360" w:lineRule="auto"/>
        <w:rPr>
          <w:rFonts w:ascii="Century" w:hAnsi="Century" w:cs="FrankRuehl"/>
          <w:spacing w:val="10"/>
          <w:sz w:val="22"/>
          <w:szCs w:val="28"/>
          <w:rtl/>
        </w:rPr>
      </w:pPr>
      <w:r>
        <w:rPr>
          <w:rFonts w:ascii="Century" w:hAnsi="Century" w:cs="FrankRuehl"/>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r>
      <w:r w:rsidR="00DB6151" w:rsidRPr="00DB1AA8">
        <w:rPr>
          <w:rFonts w:ascii="Century" w:hAnsi="Century" w:cs="FrankRuehl" w:hint="cs"/>
          <w:spacing w:val="10"/>
          <w:sz w:val="22"/>
          <w:szCs w:val="28"/>
          <w:rtl/>
        </w:rPr>
        <w:tab/>
        <w:t>ש ו פ ט</w:t>
      </w:r>
    </w:p>
    <w:p w:rsidR="00DB6151" w:rsidRPr="0049657A" w:rsidRDefault="00DB6151" w:rsidP="00DB6151">
      <w:pPr>
        <w:pStyle w:val="BODYVERDICT"/>
        <w:spacing w:line="360" w:lineRule="auto"/>
        <w:rPr>
          <w:rFonts w:ascii="Century" w:hAnsi="Century" w:cs="Miriam"/>
          <w:b/>
          <w:spacing w:val="0"/>
          <w:szCs w:val="24"/>
          <w:rtl/>
        </w:rPr>
      </w:pPr>
      <w:r w:rsidRPr="0049657A">
        <w:rPr>
          <w:rFonts w:ascii="Century" w:hAnsi="Century" w:cs="Miriam"/>
          <w:b/>
          <w:spacing w:val="0"/>
          <w:szCs w:val="24"/>
          <w:u w:val="single"/>
          <w:rtl/>
        </w:rPr>
        <w:t>השופטת ד' ברק-ארז</w:t>
      </w:r>
      <w:r w:rsidRPr="0049657A">
        <w:rPr>
          <w:rFonts w:ascii="Century" w:hAnsi="Century" w:cs="Miriam"/>
          <w:b/>
          <w:spacing w:val="0"/>
          <w:szCs w:val="24"/>
          <w:rtl/>
        </w:rPr>
        <w:t>:</w:t>
      </w:r>
    </w:p>
    <w:p w:rsidR="002539E8" w:rsidRDefault="002539E8" w:rsidP="002539E8">
      <w:pPr>
        <w:pStyle w:val="Ruller41"/>
        <w:spacing w:before="240" w:after="240"/>
        <w:rPr>
          <w:rtl/>
        </w:rPr>
      </w:pPr>
      <w:r>
        <w:rPr>
          <w:rFonts w:ascii="Century" w:hAnsi="Century" w:hint="cs"/>
          <w:rtl/>
        </w:rPr>
        <w:t>1.</w:t>
      </w:r>
      <w:r w:rsidR="00DB6151" w:rsidRPr="00DB1AA8">
        <w:rPr>
          <w:rFonts w:ascii="Century" w:hAnsi="Century" w:hint="cs"/>
          <w:rtl/>
        </w:rPr>
        <w:tab/>
      </w:r>
      <w:r>
        <w:rPr>
          <w:rFonts w:hint="cs"/>
          <w:rtl/>
        </w:rPr>
        <w:t xml:space="preserve">בפשטות, השאלה שהציבה עתירה זו היא: האם יש מקום להתערב בשיקול דעתה של היועצת המשפטית לממשלה במקרה שבפנינו על יסודה של עילת הסבירות? אני מצטרפת למסקנתם של חבריי השופטים </w:t>
      </w:r>
      <w:r w:rsidRPr="001E27C3">
        <w:rPr>
          <w:rFonts w:ascii="Century" w:hAnsi="Century" w:cs="Miriam" w:hint="cs"/>
          <w:b/>
          <w:spacing w:val="0"/>
          <w:szCs w:val="24"/>
          <w:rtl/>
        </w:rPr>
        <w:t>ח' כבוב</w:t>
      </w:r>
      <w:r w:rsidRPr="001E27C3">
        <w:rPr>
          <w:rFonts w:hint="cs"/>
          <w:rtl/>
        </w:rPr>
        <w:t xml:space="preserve"> </w:t>
      </w:r>
      <w:r>
        <w:rPr>
          <w:rFonts w:hint="cs"/>
          <w:rtl/>
        </w:rPr>
        <w:t>ו-</w:t>
      </w:r>
      <w:r w:rsidRPr="001E27C3">
        <w:rPr>
          <w:rFonts w:ascii="Century" w:hAnsi="Century" w:cs="Miriam" w:hint="cs"/>
          <w:b/>
          <w:spacing w:val="0"/>
          <w:szCs w:val="24"/>
          <w:rtl/>
        </w:rPr>
        <w:t>נ' סולברג</w:t>
      </w:r>
      <w:r w:rsidRPr="001E27C3">
        <w:rPr>
          <w:rFonts w:hint="cs"/>
          <w:rtl/>
        </w:rPr>
        <w:t xml:space="preserve"> </w:t>
      </w:r>
      <w:r>
        <w:rPr>
          <w:rFonts w:hint="cs"/>
          <w:rtl/>
        </w:rPr>
        <w:t xml:space="preserve">כי דין העתירה להידחות. </w:t>
      </w:r>
    </w:p>
    <w:p w:rsidR="002539E8" w:rsidRDefault="002539E8" w:rsidP="002539E8">
      <w:pPr>
        <w:pStyle w:val="Ruller41"/>
        <w:spacing w:before="240" w:after="240"/>
        <w:rPr>
          <w:rtl/>
        </w:rPr>
      </w:pPr>
      <w:r>
        <w:rPr>
          <w:rFonts w:hint="cs"/>
          <w:rtl/>
        </w:rPr>
        <w:t xml:space="preserve">2. </w:t>
      </w:r>
      <w:r>
        <w:rPr>
          <w:rFonts w:hint="cs"/>
          <w:rtl/>
        </w:rPr>
        <w:tab/>
        <w:t xml:space="preserve">חברי השופט </w:t>
      </w:r>
      <w:r w:rsidRPr="00AF37E0">
        <w:rPr>
          <w:rFonts w:ascii="Century" w:hAnsi="Century" w:cs="Miriam" w:hint="cs"/>
          <w:b/>
          <w:spacing w:val="0"/>
          <w:szCs w:val="24"/>
          <w:rtl/>
        </w:rPr>
        <w:t xml:space="preserve">כבוב </w:t>
      </w:r>
      <w:r>
        <w:rPr>
          <w:rFonts w:hint="cs"/>
          <w:rtl/>
        </w:rPr>
        <w:t xml:space="preserve">מיקד את דבריו בהתפתחויות שחלו לאורך השנים בביקורת על שיקול דעתו של היועץ המשפטי לממשלה. מנקודת מבטי, הקשר הדיון הוא רחב אף יותר </w:t>
      </w:r>
      <w:r>
        <w:rPr>
          <w:rtl/>
        </w:rPr>
        <w:t>–</w:t>
      </w:r>
      <w:r>
        <w:rPr>
          <w:rFonts w:hint="cs"/>
          <w:rtl/>
        </w:rPr>
        <w:t xml:space="preserve"> הביקורת על שיקול הדעת </w:t>
      </w:r>
      <w:proofErr w:type="spellStart"/>
      <w:r>
        <w:rPr>
          <w:rFonts w:hint="cs"/>
          <w:rtl/>
        </w:rPr>
        <w:t>המינהלי</w:t>
      </w:r>
      <w:proofErr w:type="spellEnd"/>
      <w:r>
        <w:rPr>
          <w:rFonts w:hint="cs"/>
          <w:rtl/>
        </w:rPr>
        <w:t xml:space="preserve">, תוך שימוש בעילת הסבירות. העתירה שבפנינו, כמו רבות לפניה מאז הימים הראשונים של מדינת ישראל, מבוססת על הטענה שההחלטה </w:t>
      </w:r>
      <w:proofErr w:type="spellStart"/>
      <w:r>
        <w:rPr>
          <w:rFonts w:hint="cs"/>
          <w:rtl/>
        </w:rPr>
        <w:t>המינהלית</w:t>
      </w:r>
      <w:proofErr w:type="spellEnd"/>
      <w:r>
        <w:rPr>
          <w:rFonts w:hint="cs"/>
          <w:rtl/>
        </w:rPr>
        <w:t xml:space="preserve"> שהתקבלה, במקרה זה החלטתה של היועצת המשפטית לממשלה, אינה סבירה באופן קיצוני. אכן, כפי שציין חברי, החלתה של עילת הסבירות על החלטות היועץ המשפטי לממשלה התפתחה בשלב מעט מאוחר יותר (בעיקר מאז בג"ץ 935/89 </w:t>
      </w:r>
      <w:proofErr w:type="spellStart"/>
      <w:r w:rsidRPr="00053AB5">
        <w:rPr>
          <w:rFonts w:ascii="Century" w:hAnsi="Century" w:cs="Miriam" w:hint="cs"/>
          <w:b/>
          <w:spacing w:val="0"/>
          <w:szCs w:val="24"/>
          <w:rtl/>
        </w:rPr>
        <w:t>גנור</w:t>
      </w:r>
      <w:proofErr w:type="spellEnd"/>
      <w:r w:rsidRPr="00053AB5">
        <w:rPr>
          <w:rFonts w:ascii="Century" w:hAnsi="Century" w:cs="Miriam" w:hint="cs"/>
          <w:b/>
          <w:spacing w:val="0"/>
          <w:szCs w:val="24"/>
          <w:rtl/>
        </w:rPr>
        <w:t xml:space="preserve"> נ' היועץ המשפטי לממשלה</w:t>
      </w:r>
      <w:r>
        <w:rPr>
          <w:rFonts w:hint="cs"/>
          <w:rtl/>
        </w:rPr>
        <w:t xml:space="preserve">, פ"ד מד(2) 485 (1990)), מתוך הכרה במקצועיות המיוחדת ובשיקול הדעת הרחב של מי שמכהן בתפקיד זה. אולם, בעיקרו של דבר, השימוש בעילת הסבירות אף ביחס להחלטות היועץ המשפטי לממשלה, מבלי </w:t>
      </w:r>
      <w:proofErr w:type="spellStart"/>
      <w:r>
        <w:rPr>
          <w:rFonts w:hint="cs"/>
          <w:rtl/>
        </w:rPr>
        <w:t>להחריג</w:t>
      </w:r>
      <w:proofErr w:type="spellEnd"/>
      <w:r>
        <w:rPr>
          <w:rFonts w:hint="cs"/>
          <w:rtl/>
        </w:rPr>
        <w:t xml:space="preserve"> אותן באופן קטגורי מתחולתה של עילה זו, היה צעד מתבקש, בהתחשב בכך שאין החלטה </w:t>
      </w:r>
      <w:proofErr w:type="spellStart"/>
      <w:r>
        <w:rPr>
          <w:rFonts w:hint="cs"/>
          <w:rtl/>
        </w:rPr>
        <w:t>מינהלית</w:t>
      </w:r>
      <w:proofErr w:type="spellEnd"/>
      <w:r>
        <w:rPr>
          <w:rFonts w:hint="cs"/>
          <w:rtl/>
        </w:rPr>
        <w:t xml:space="preserve"> הפטורה לחלוטין מאמת מידה בסיסית זו של חוסר סבירות קיצוני (להרחבה, ראו: דפנה ברק-ארז </w:t>
      </w:r>
      <w:r w:rsidRPr="00053AB5">
        <w:rPr>
          <w:rFonts w:ascii="Century" w:hAnsi="Century" w:cs="Miriam" w:hint="cs"/>
          <w:b/>
          <w:spacing w:val="0"/>
          <w:szCs w:val="24"/>
          <w:rtl/>
        </w:rPr>
        <w:t xml:space="preserve">משפט </w:t>
      </w:r>
      <w:proofErr w:type="spellStart"/>
      <w:r w:rsidRPr="00053AB5">
        <w:rPr>
          <w:rFonts w:ascii="Century" w:hAnsi="Century" w:cs="Miriam" w:hint="cs"/>
          <w:b/>
          <w:spacing w:val="0"/>
          <w:szCs w:val="24"/>
          <w:rtl/>
        </w:rPr>
        <w:t>מינהלי</w:t>
      </w:r>
      <w:proofErr w:type="spellEnd"/>
      <w:r w:rsidRPr="00053AB5">
        <w:rPr>
          <w:rFonts w:hint="cs"/>
          <w:rtl/>
        </w:rPr>
        <w:t xml:space="preserve"> </w:t>
      </w:r>
      <w:r>
        <w:rPr>
          <w:rFonts w:hint="cs"/>
          <w:rtl/>
        </w:rPr>
        <w:t xml:space="preserve">כרך ב 757-749 (2010) (להלן: </w:t>
      </w:r>
      <w:r>
        <w:rPr>
          <w:rFonts w:ascii="Century" w:hAnsi="Century" w:cs="Miriam" w:hint="cs"/>
          <w:b/>
          <w:spacing w:val="0"/>
          <w:szCs w:val="24"/>
          <w:rtl/>
        </w:rPr>
        <w:t>ברק-ארז</w:t>
      </w:r>
      <w:r>
        <w:rPr>
          <w:rFonts w:hint="cs"/>
          <w:rtl/>
        </w:rPr>
        <w:t xml:space="preserve">)). הדברים אמורים בענייננו הן בהתייחס להחלטות הייעוץ המשפטי לממשלה בתחום אכיפת המשפט הפלילי והן בהתייחס להחלטותיו בתחום הייעוצי הכללי (ראו: דפנה </w:t>
      </w:r>
      <w:r>
        <w:rPr>
          <w:rFonts w:hint="cs"/>
          <w:rtl/>
        </w:rPr>
        <w:lastRenderedPageBreak/>
        <w:t xml:space="preserve">ברק-ארז "בג"ץ כיועץ משפטי לממשלה" </w:t>
      </w:r>
      <w:r w:rsidRPr="00D31205">
        <w:rPr>
          <w:rFonts w:ascii="Century" w:hAnsi="Century" w:cs="Miriam" w:hint="cs"/>
          <w:b/>
          <w:spacing w:val="0"/>
          <w:szCs w:val="24"/>
          <w:rtl/>
        </w:rPr>
        <w:t xml:space="preserve">פלילים </w:t>
      </w:r>
      <w:r>
        <w:rPr>
          <w:rFonts w:hint="cs"/>
          <w:rtl/>
        </w:rPr>
        <w:t xml:space="preserve">ה 219 (1996)). למעשה, ללא התפתחות זו, דהיינו ללא עילת הסבירות הכללית כחלק בלתי נפרד מעילות הביקורת של המשפט </w:t>
      </w:r>
      <w:proofErr w:type="spellStart"/>
      <w:r>
        <w:rPr>
          <w:rFonts w:hint="cs"/>
          <w:rtl/>
        </w:rPr>
        <w:t>המינהלי</w:t>
      </w:r>
      <w:proofErr w:type="spellEnd"/>
      <w:r>
        <w:rPr>
          <w:rFonts w:hint="cs"/>
          <w:rtl/>
        </w:rPr>
        <w:t xml:space="preserve">, לא הייתה תקומה לעתירה זו ולעתירות דומות לה. </w:t>
      </w:r>
    </w:p>
    <w:p w:rsidR="002539E8" w:rsidRDefault="002539E8" w:rsidP="002539E8">
      <w:pPr>
        <w:pStyle w:val="Ruller41"/>
        <w:spacing w:before="240" w:after="240"/>
        <w:rPr>
          <w:rtl/>
        </w:rPr>
      </w:pPr>
      <w:r>
        <w:rPr>
          <w:rFonts w:hint="cs"/>
          <w:rtl/>
        </w:rPr>
        <w:t xml:space="preserve">3. </w:t>
      </w:r>
      <w:r>
        <w:rPr>
          <w:rFonts w:hint="cs"/>
          <w:rtl/>
        </w:rPr>
        <w:tab/>
        <w:t xml:space="preserve">הביקורת על-פי עילת הסבירות, שכיום משתרעת גם על החלטותיה של היועצת המשפטית לממשלה, אין משמעותה </w:t>
      </w:r>
      <w:r w:rsidRPr="006A4311">
        <w:rPr>
          <w:rFonts w:asciiTheme="majorBidi" w:hAnsiTheme="majorBidi" w:cstheme="majorBidi"/>
          <w:sz w:val="24"/>
          <w:szCs w:val="24"/>
        </w:rPr>
        <w:t>second-guessing</w:t>
      </w:r>
      <w:r>
        <w:rPr>
          <w:rFonts w:hint="cs"/>
          <w:rtl/>
        </w:rPr>
        <w:t xml:space="preserve"> של החלטותיה, בבחינת "עיון חוזר" בהן על-פי שיקול דעתו הסובייקטיבי של בית המשפט. עילה זו, אף שהיא משתמשת במונח השגור בחיי היומיום גם ב"לשון בני אדם", דהיינו "סבירות", היא בעלת משמעות משפטית מתוחמת ומוגדרת. החלטה שאינה סבירה במובנה המשפטי אינה החלטה שאינה נושאת חן בעיניו של מי שמחווה דעתו עליה או ממלא תפקיד ביקורת ביחס אליה, אלא החלטה שאינה עומדת באמות המידה של חוסר סבירות קיצוני, כפי שאלה הוגדרו בפסיקה לאורך השנים ובספרות המשפטית הענפה בתחום זה. על כן, במקרים רבים, וכך גם במקרה זה, אין די באי-נחת מהחלטה </w:t>
      </w:r>
      <w:proofErr w:type="spellStart"/>
      <w:r>
        <w:rPr>
          <w:rFonts w:hint="cs"/>
          <w:rtl/>
        </w:rPr>
        <w:t>מינהלית</w:t>
      </w:r>
      <w:proofErr w:type="spellEnd"/>
      <w:r>
        <w:rPr>
          <w:rFonts w:hint="cs"/>
          <w:rtl/>
        </w:rPr>
        <w:t xml:space="preserve"> שהתקבלה על מנת להצדיק את קבלת העתירה.  </w:t>
      </w:r>
    </w:p>
    <w:p w:rsidR="002539E8" w:rsidRDefault="002539E8" w:rsidP="002539E8">
      <w:pPr>
        <w:pStyle w:val="Ruller41"/>
        <w:spacing w:before="240" w:after="240"/>
        <w:rPr>
          <w:rtl/>
        </w:rPr>
      </w:pPr>
      <w:r>
        <w:rPr>
          <w:rFonts w:hint="cs"/>
          <w:rtl/>
        </w:rPr>
        <w:t xml:space="preserve">4. </w:t>
      </w:r>
      <w:r>
        <w:rPr>
          <w:rFonts w:hint="cs"/>
          <w:rtl/>
        </w:rPr>
        <w:tab/>
        <w:t xml:space="preserve">במלים אחרות, עילת הסבירות משקפת את החובה המוטלת על כל רשות </w:t>
      </w:r>
      <w:proofErr w:type="spellStart"/>
      <w:r>
        <w:rPr>
          <w:rFonts w:hint="cs"/>
          <w:rtl/>
        </w:rPr>
        <w:t>מינהלית</w:t>
      </w:r>
      <w:proofErr w:type="spellEnd"/>
      <w:r>
        <w:rPr>
          <w:rFonts w:hint="cs"/>
          <w:rtl/>
        </w:rPr>
        <w:t xml:space="preserve"> לקבל את החלטתה לאחר שבחנה את כלל השיקולים הרלוונטיים ונתנה להם משקל הולם. כידוע, אסור לרשות </w:t>
      </w:r>
      <w:proofErr w:type="spellStart"/>
      <w:r>
        <w:rPr>
          <w:rFonts w:hint="cs"/>
          <w:rtl/>
        </w:rPr>
        <w:t>המינהלית</w:t>
      </w:r>
      <w:proofErr w:type="spellEnd"/>
      <w:r>
        <w:rPr>
          <w:rFonts w:hint="cs"/>
          <w:rtl/>
        </w:rPr>
        <w:t xml:space="preserve"> לשקול שיקולים זרים, שיקולים שאינם ממין העניין. אולם, לצד החובה שלא לשקול שיקולים זרים, עומדת חובה, לא פחות חשובה, והיא החובה לבחון באופן סדור את כלל השיקולים הנוגעים בדבר ולתת להם ביטוי ראוי, בהתאם למאפייני העניין ולנסיבותיו. על דרך המשל וההשוואה, כאשר רופא נדרש לטפל בחולה, לא די בכך שיימנע מלתת לו תרופה שאינה מתאימה, כזו שמיועדת לטיפול במחלה אחרת (תרופה שאותה ניתן לדמות לשיקול זר). בנוסף, עליו לתת לחולה את כלל התרופות המתאימות לטיפול במחלה (וכך למשל, במקרה שבו שתי תרופות דרושות, מתן אחת בלבד עשויה להיות בעייתית, וכך גם הענקת התרופות הנדרשות במינונים לא מתאימים).</w:t>
      </w:r>
    </w:p>
    <w:p w:rsidR="002539E8" w:rsidRDefault="002539E8" w:rsidP="002539E8">
      <w:pPr>
        <w:pStyle w:val="Ruller41"/>
        <w:spacing w:before="240" w:after="240"/>
        <w:rPr>
          <w:rtl/>
        </w:rPr>
      </w:pPr>
      <w:r>
        <w:rPr>
          <w:rFonts w:hint="cs"/>
          <w:rtl/>
        </w:rPr>
        <w:t xml:space="preserve">5. </w:t>
      </w:r>
      <w:r>
        <w:rPr>
          <w:rtl/>
        </w:rPr>
        <w:tab/>
      </w:r>
      <w:r>
        <w:rPr>
          <w:rFonts w:hint="cs"/>
          <w:rtl/>
        </w:rPr>
        <w:t xml:space="preserve">על כך יש להוסיף, כי לעתים עילת הסבירות משמשת כלי חשוב לביקורת גם על החלטות פגומות שבהן נפלו שיקולים זרים, באותם מקרים שבהם קיימים מחסומים ראייתיים שונים המטילים קושי על האפשרות להצביע על שיקולים אלו. כידוע, דברים שבלב הם קשים להוכחה, ואילו יתרונה של עילת הסבירות הוא בבחינת האיזון בין השיקולים שביסוד ההחלטה, מבלי להידרש לדברים שבלב ולכוונות נסתרות (להרחבה, ראו: </w:t>
      </w:r>
      <w:r>
        <w:rPr>
          <w:rFonts w:ascii="Century" w:hAnsi="Century" w:cs="Miriam" w:hint="cs"/>
          <w:b/>
          <w:spacing w:val="0"/>
          <w:szCs w:val="24"/>
          <w:rtl/>
        </w:rPr>
        <w:t>ברק-ארז</w:t>
      </w:r>
      <w:r>
        <w:rPr>
          <w:rFonts w:hint="cs"/>
          <w:rtl/>
        </w:rPr>
        <w:t xml:space="preserve">, בעמ' 751-749). על דרך ההשוואה ניתן להזכיר כי ההלכה המוקדמת בכל הנוגע לביקורת על החלטות היועץ המשפטי לממשלה, כפי שהותוותה בעבר ונזכרה על-ידי חברי (בג"ץ 156/56 </w:t>
      </w:r>
      <w:r w:rsidRPr="0040314E">
        <w:rPr>
          <w:rFonts w:ascii="Century" w:hAnsi="Century" w:cs="Miriam" w:hint="cs"/>
          <w:b/>
          <w:spacing w:val="0"/>
          <w:szCs w:val="24"/>
          <w:rtl/>
        </w:rPr>
        <w:t>שור נ' היועץ המשפטי לממשלה</w:t>
      </w:r>
      <w:r>
        <w:rPr>
          <w:rFonts w:hint="cs"/>
          <w:rtl/>
        </w:rPr>
        <w:t xml:space="preserve">, פ"ד יא 285 (1957)), הייתה </w:t>
      </w:r>
      <w:r>
        <w:rPr>
          <w:rFonts w:hint="cs"/>
          <w:rtl/>
        </w:rPr>
        <w:lastRenderedPageBreak/>
        <w:t>מוגבלת להחלטות שהתקבלו בחוסר תום לב או ממניעים נפסדים, וכך קבעה במידה רבה רף בלתי עביר. ביקורת שיפוטית מאוזנת על החלטות היועץ המשפטי לממשלה התאפשרה בעקבות הכפפתן לעילת הסבירות.</w:t>
      </w:r>
    </w:p>
    <w:p w:rsidR="002539E8" w:rsidRDefault="002539E8" w:rsidP="002539E8">
      <w:pPr>
        <w:pStyle w:val="Ruller41"/>
        <w:spacing w:before="240" w:after="240"/>
        <w:rPr>
          <w:rtl/>
        </w:rPr>
      </w:pPr>
      <w:r>
        <w:rPr>
          <w:rFonts w:hint="cs"/>
          <w:rtl/>
        </w:rPr>
        <w:t xml:space="preserve">6. </w:t>
      </w:r>
      <w:r>
        <w:rPr>
          <w:rFonts w:hint="cs"/>
          <w:rtl/>
        </w:rPr>
        <w:tab/>
        <w:t>אני מצטרפת אפוא לקביעתם של חבריי כי דין העתירה להידחות. תוצאה זו היא מסקנה טבעית הנובעת מתורת הסבירות, כפי שהותוותה בהלכה הפסוקה. אכן, הגישה הזהירה ביחס לביקורת על החלטותיה של היועצת המשפטית לממשלה מכוח עילת הסבירות, היא חלק מתפיסה כוללת של ביקורת שיפוטית. במלים אחרות: כיצד ניתן להבטיח שהשימוש באמת המידה של חוסר סבירות קיצוני לא יהפוך אמנם ל-</w:t>
      </w:r>
      <w:r w:rsidRPr="00AF37E0">
        <w:rPr>
          <w:rFonts w:asciiTheme="majorBidi" w:hAnsiTheme="majorBidi" w:cstheme="majorBidi"/>
          <w:sz w:val="24"/>
          <w:szCs w:val="24"/>
        </w:rPr>
        <w:t>second guessing</w:t>
      </w:r>
      <w:r>
        <w:rPr>
          <w:rFonts w:hint="cs"/>
          <w:rtl/>
        </w:rPr>
        <w:t xml:space="preserve"> של ההחלטה </w:t>
      </w:r>
      <w:proofErr w:type="spellStart"/>
      <w:r>
        <w:rPr>
          <w:rFonts w:hint="cs"/>
          <w:rtl/>
        </w:rPr>
        <w:t>המינהלית</w:t>
      </w:r>
      <w:proofErr w:type="spellEnd"/>
      <w:r>
        <w:rPr>
          <w:rFonts w:hint="cs"/>
          <w:rtl/>
        </w:rPr>
        <w:t>? התשובה לכך נמצאת במידת החריגה מן השורה. רק התעלמות משיקול רלוונטי או כמעט התעלמות ממנו, דהיינו מתן משקל קל ערך לשיקול עיקרי ולהפך, יעלו כדי הפרה של חובת הסבירות המשפטית ויצדיקו ביקורת שיפוטית על בסיס חריגה קיצונית ממתחם הסבירות. זאת ועוד: יש אמנם רשויות ותחומי פעילות שביחס אליהם בית משפט זה נוקט זהירות מיוחדת בביקורת השיפוטית. אולם, הדברים נטועים תמיד בהקשר הרחב של הדיון. כך, כאשר מדובר בביקורת על החלטותיה של היועצת המשפטית לממשלה, מידת הזהירות הרבה מבוססת על המקצועיות המובהקת המאפיינת את הנושאים בתפקיד זה, כמו גם על העובדה שהדין הפקיד בידי מי שאמון על אכיפת החוק סמכות רחבה לשקול היבטים ראייתיים, לצד שיקולים רחבים הנוגעים לאינטרס הציבורי. קל להיווכח כי התשובה לשאלה מהם ההקשרים שבהם יש לנקוט זהירות מיוחדת בהפעלתה של ביקורת שיפוטית בכלל, וביקורת שיפוטית על יסודה של עילת הסבירות בפרט, אינה אחידה. לעתים, יש מקום לזהירות כזו בשל כך שמדובר במי שמחזיק במקצועיות ייחודית. במקרים אחרים, הזהירות יפה מאחר שמדובר בהחלטות מדיניות מובהקות. קשה ליצור קטגוריות מובהקות וקבועות מראש לכך. הדברים הם תלויי הקשר.</w:t>
      </w:r>
    </w:p>
    <w:p w:rsidR="002539E8" w:rsidRDefault="002539E8" w:rsidP="002539E8">
      <w:pPr>
        <w:pStyle w:val="Ruller41"/>
        <w:spacing w:before="240" w:after="240"/>
        <w:rPr>
          <w:rtl/>
        </w:rPr>
      </w:pPr>
      <w:r>
        <w:rPr>
          <w:rFonts w:hint="cs"/>
          <w:rtl/>
        </w:rPr>
        <w:t xml:space="preserve">7. </w:t>
      </w:r>
      <w:r>
        <w:rPr>
          <w:rFonts w:hint="cs"/>
          <w:rtl/>
        </w:rPr>
        <w:tab/>
        <w:t xml:space="preserve">ומהכלל אל הפרט. חברי השופט </w:t>
      </w:r>
      <w:r w:rsidRPr="000836D6">
        <w:rPr>
          <w:rFonts w:ascii="Century" w:hAnsi="Century" w:cs="Miriam" w:hint="cs"/>
          <w:b/>
          <w:spacing w:val="0"/>
          <w:szCs w:val="24"/>
          <w:rtl/>
        </w:rPr>
        <w:t>כבוב</w:t>
      </w:r>
      <w:r w:rsidRPr="000836D6">
        <w:rPr>
          <w:rFonts w:hint="cs"/>
          <w:rtl/>
        </w:rPr>
        <w:t xml:space="preserve"> </w:t>
      </w:r>
      <w:r>
        <w:rPr>
          <w:rFonts w:hint="cs"/>
          <w:rtl/>
        </w:rPr>
        <w:t xml:space="preserve">מצביע בצדק כי בנסיבות העניין הקשיים שעליהם עמדה היועצת המשפטית לממשלה ביחס לתוחלת החקירה מכריעים את הכף כך או כך, אך הוסיף דברי ביקורת בכל הנוגע להערכתה כי במקרה זה "לא נגרמה פגיעה ואין פוטנציאל פגיעה באינטרסים חיוניים כתוצאה מהגילוי הנטען". הוא מטעים בהקשר זה כי "הדלפה של מידע מתוך הליך פלילי, בפרט של איש ציבור, לא כל שכן של מי שכיהן ומכהן כראש הממשלה, כרוכה, מעצם טיבה וטבעה בפגיעה שאין להתעלם ממנה בשורה של אינטרסים, אך בראש ובראשונה </w:t>
      </w:r>
      <w:r>
        <w:rPr>
          <w:rtl/>
        </w:rPr>
        <w:t>–</w:t>
      </w:r>
      <w:r>
        <w:rPr>
          <w:rFonts w:hint="cs"/>
          <w:rtl/>
        </w:rPr>
        <w:t xml:space="preserve"> באמון הציבור, שאין צורך להכביר במילים על אודות חשיבותו" (פסקה 46 לחוות דעתו). הדברים נכונים, אך להבנתי חוות דעתה של היועצת המשפטית לממשלה אינה כופרת בכל אלה. חוות הדעת רק מאבחנת בין מקרה כמו זה שבפנינו, שבו הרעה טמונה בעיקרה בעצם קיומה של הדלפה, על </w:t>
      </w:r>
      <w:r>
        <w:rPr>
          <w:rFonts w:hint="cs"/>
          <w:rtl/>
        </w:rPr>
        <w:lastRenderedPageBreak/>
        <w:t xml:space="preserve">המשמעויות הציבוריות הכרוכות בה, לבין מצבים אחרים שבהם תוכן החומר שהודלף כרוך גם בפגיעה באינטרסים חיוניים נוספים (כפי שקורה לא אחת, למשל, כאשר ההדלפה נוגעת לחומר שביטחון המדינה מחייב הגנה עליו. השוו למשל: בג"ץ 6241/14 </w:t>
      </w:r>
      <w:r w:rsidRPr="0040314E">
        <w:rPr>
          <w:rFonts w:ascii="Century" w:hAnsi="Century" w:cs="Miriam" w:hint="cs"/>
          <w:b/>
          <w:spacing w:val="0"/>
          <w:szCs w:val="24"/>
          <w:rtl/>
        </w:rPr>
        <w:t>התנועה לאיכות השלטון בישראל נ' היועץ המשפטי לממשלה</w:t>
      </w:r>
      <w:r w:rsidRPr="0040314E">
        <w:rPr>
          <w:rFonts w:hint="cs"/>
          <w:rtl/>
        </w:rPr>
        <w:t xml:space="preserve"> </w:t>
      </w:r>
      <w:r>
        <w:rPr>
          <w:rFonts w:hint="cs"/>
          <w:rtl/>
        </w:rPr>
        <w:t xml:space="preserve">(5.5.2016)). </w:t>
      </w:r>
    </w:p>
    <w:p w:rsidR="002539E8" w:rsidRDefault="002539E8" w:rsidP="002539E8">
      <w:pPr>
        <w:pStyle w:val="Ruller41"/>
        <w:spacing w:before="240" w:after="240"/>
        <w:rPr>
          <w:rtl/>
        </w:rPr>
      </w:pPr>
      <w:r>
        <w:rPr>
          <w:rFonts w:hint="cs"/>
          <w:rtl/>
        </w:rPr>
        <w:t xml:space="preserve">8. </w:t>
      </w:r>
      <w:r>
        <w:rPr>
          <w:rFonts w:hint="cs"/>
          <w:rtl/>
        </w:rPr>
        <w:tab/>
        <w:t>עוד אוסיף, כי אינני שותפה לחשש כי אי-פתיחתה של חקירה פלילית במקרה של הדלפה מעבירה בהכרח מסר של היעדר התייחסות מתאימה לצורך להילחם בהדלפות פסולות. פתיחה בחקירה היא עניין המחייב הידרשות גם לשיקולים פרגמטיים, ודומה שאין מחלוקת על כך שאין מקום לפתוח בחקירה אך מטעמים של מסר, אם אין לכך תוחלת מעשית מבחינת היכולת להגיע לחקר האמת. עוד יש לזכור, והדבר מתיישב עם האמור בחוות דעתה של היועצת המשפטית לממשלה, כי המשפט הפלילי אינו תרופה לכל מכאוב. ההקפדה בנושא של הדלפות יכולה להיות מיושמת גם באמצעות שלל אמצעים אחרים ובכלל זה גם במישור המשמעתי. הסדרים קפדניים של ביטחון מידע (במקרים מתאימים) מלכתחילה ונקיטת הליכי משמעת בדיעבד, אף הם אמצעים חשובים, לצד המשפט הפלילי, ואין להקל בהם ראש.</w:t>
      </w:r>
    </w:p>
    <w:p w:rsidR="002539E8" w:rsidRPr="004F7D1B" w:rsidRDefault="002539E8" w:rsidP="002539E8">
      <w:pPr>
        <w:tabs>
          <w:tab w:val="left" w:pos="800"/>
        </w:tabs>
        <w:spacing w:before="240" w:after="240" w:line="360" w:lineRule="auto"/>
        <w:jc w:val="both"/>
        <w:textAlignment w:val="auto"/>
        <w:rPr>
          <w:rFonts w:ascii="Arial TUR" w:hAnsi="Arial TUR" w:cs="FrankRuehl"/>
          <w:spacing w:val="10"/>
          <w:sz w:val="22"/>
          <w:szCs w:val="28"/>
        </w:rPr>
      </w:pPr>
      <w:r w:rsidRPr="004F7D1B">
        <w:rPr>
          <w:rFonts w:ascii="Arial TUR" w:hAnsi="Arial TUR" w:cs="FrankRuehl"/>
          <w:spacing w:val="10"/>
          <w:sz w:val="22"/>
          <w:szCs w:val="28"/>
          <w:rtl/>
        </w:rPr>
        <w:t xml:space="preserve">9. </w:t>
      </w:r>
      <w:r w:rsidRPr="004F7D1B">
        <w:rPr>
          <w:rFonts w:ascii="Arial TUR" w:hAnsi="Arial TUR" w:cs="FrankRuehl"/>
          <w:spacing w:val="10"/>
          <w:sz w:val="22"/>
          <w:szCs w:val="28"/>
          <w:rtl/>
        </w:rPr>
        <w:tab/>
        <w:t xml:space="preserve">לקראת סיום, ועל רקע הערתו של חברי השופט </w:t>
      </w:r>
      <w:r w:rsidRPr="004F7D1B">
        <w:rPr>
          <w:rFonts w:ascii="Century" w:hAnsi="Century" w:cs="Miriam"/>
          <w:b/>
          <w:sz w:val="22"/>
          <w:rtl/>
        </w:rPr>
        <w:t>סולברג</w:t>
      </w:r>
      <w:r w:rsidRPr="004F7D1B">
        <w:rPr>
          <w:rFonts w:ascii="FrankRuehl" w:hAnsi="FrankRuehl" w:cs="FrankRuehl"/>
          <w:b/>
          <w:sz w:val="22"/>
          <w:rtl/>
        </w:rPr>
        <w:t>,</w:t>
      </w:r>
      <w:r w:rsidRPr="004F7D1B">
        <w:rPr>
          <w:rFonts w:ascii="Century" w:hAnsi="Century" w:cs="Miriam"/>
          <w:b/>
          <w:sz w:val="22"/>
          <w:rtl/>
        </w:rPr>
        <w:t xml:space="preserve"> </w:t>
      </w:r>
      <w:r w:rsidRPr="004F7D1B">
        <w:rPr>
          <w:rFonts w:ascii="Arial TUR" w:hAnsi="Arial TUR" w:cs="FrankRuehl" w:hint="cs"/>
          <w:spacing w:val="10"/>
          <w:sz w:val="22"/>
          <w:szCs w:val="28"/>
          <w:rtl/>
        </w:rPr>
        <w:t xml:space="preserve">אבהיר </w:t>
      </w:r>
      <w:r w:rsidRPr="004F7D1B">
        <w:rPr>
          <w:rFonts w:ascii="Arial TUR" w:hAnsi="Arial TUR" w:cs="FrankRuehl"/>
          <w:spacing w:val="10"/>
          <w:sz w:val="22"/>
          <w:szCs w:val="28"/>
          <w:rtl/>
        </w:rPr>
        <w:t xml:space="preserve">את </w:t>
      </w:r>
      <w:r w:rsidRPr="004F7D1B">
        <w:rPr>
          <w:rFonts w:ascii="Arial TUR" w:hAnsi="Arial TUR" w:cs="FrankRuehl" w:hint="cs"/>
          <w:spacing w:val="10"/>
          <w:sz w:val="22"/>
          <w:szCs w:val="28"/>
          <w:rtl/>
        </w:rPr>
        <w:t xml:space="preserve">מה שעבורי היה </w:t>
      </w:r>
      <w:r w:rsidRPr="004F7D1B">
        <w:rPr>
          <w:rFonts w:ascii="Arial TUR" w:hAnsi="Arial TUR" w:cs="FrankRuehl"/>
          <w:spacing w:val="10"/>
          <w:sz w:val="22"/>
          <w:szCs w:val="28"/>
          <w:rtl/>
        </w:rPr>
        <w:t xml:space="preserve">מובן מאליו: נדרשתי להיקפה של עילת הסבירות במקרה זה, משום </w:t>
      </w:r>
      <w:r w:rsidRPr="004F7D1B">
        <w:rPr>
          <w:rFonts w:ascii="Arial TUR" w:hAnsi="Arial TUR" w:cs="FrankRuehl" w:hint="cs"/>
          <w:spacing w:val="10"/>
          <w:sz w:val="22"/>
          <w:szCs w:val="28"/>
          <w:rtl/>
        </w:rPr>
        <w:t>שבסופו של יום</w:t>
      </w:r>
      <w:r w:rsidRPr="004F7D1B">
        <w:rPr>
          <w:rFonts w:ascii="Arial TUR" w:hAnsi="Arial TUR" w:cs="FrankRuehl"/>
          <w:spacing w:val="10"/>
          <w:sz w:val="22"/>
          <w:szCs w:val="28"/>
          <w:rtl/>
        </w:rPr>
        <w:t xml:space="preserve"> </w:t>
      </w:r>
      <w:r w:rsidRPr="004F7D1B">
        <w:rPr>
          <w:rFonts w:ascii="Arial TUR" w:hAnsi="Arial TUR" w:cs="FrankRuehl" w:hint="cs"/>
          <w:spacing w:val="10"/>
          <w:sz w:val="22"/>
          <w:szCs w:val="28"/>
          <w:rtl/>
        </w:rPr>
        <w:t xml:space="preserve">זוהי </w:t>
      </w:r>
      <w:r w:rsidRPr="004F7D1B">
        <w:rPr>
          <w:rFonts w:ascii="Arial TUR" w:hAnsi="Arial TUR" w:cs="FrankRuehl"/>
          <w:spacing w:val="10"/>
          <w:sz w:val="22"/>
          <w:szCs w:val="28"/>
          <w:rtl/>
        </w:rPr>
        <w:t xml:space="preserve">העילה </w:t>
      </w:r>
      <w:r w:rsidRPr="004F7D1B">
        <w:rPr>
          <w:rFonts w:ascii="Arial TUR" w:hAnsi="Arial TUR" w:cs="FrankRuehl" w:hint="cs"/>
          <w:spacing w:val="10"/>
          <w:sz w:val="22"/>
          <w:szCs w:val="28"/>
          <w:rtl/>
        </w:rPr>
        <w:t>המהותית</w:t>
      </w:r>
      <w:r w:rsidRPr="004F7D1B">
        <w:rPr>
          <w:rFonts w:ascii="Arial TUR" w:hAnsi="Arial TUR" w:cs="FrankRuehl"/>
          <w:spacing w:val="10"/>
          <w:sz w:val="22"/>
          <w:szCs w:val="28"/>
          <w:rtl/>
        </w:rPr>
        <w:t xml:space="preserve"> המרכזית</w:t>
      </w:r>
      <w:r w:rsidRPr="004F7D1B">
        <w:rPr>
          <w:rFonts w:ascii="Arial TUR" w:hAnsi="Arial TUR" w:cs="FrankRuehl" w:hint="cs"/>
          <w:spacing w:val="10"/>
          <w:sz w:val="22"/>
          <w:szCs w:val="28"/>
          <w:rtl/>
        </w:rPr>
        <w:t xml:space="preserve"> </w:t>
      </w:r>
      <w:r w:rsidRPr="004F7D1B">
        <w:rPr>
          <w:rFonts w:ascii="Arial TUR" w:hAnsi="Arial TUR" w:cs="FrankRuehl"/>
          <w:spacing w:val="10"/>
          <w:sz w:val="22"/>
          <w:szCs w:val="28"/>
          <w:rtl/>
        </w:rPr>
        <w:t xml:space="preserve">שעליה </w:t>
      </w:r>
      <w:r w:rsidRPr="004F7D1B">
        <w:rPr>
          <w:rFonts w:ascii="Arial TUR" w:hAnsi="Arial TUR" w:cs="FrankRuehl" w:hint="cs"/>
          <w:spacing w:val="10"/>
          <w:sz w:val="22"/>
          <w:szCs w:val="28"/>
          <w:rtl/>
        </w:rPr>
        <w:t>ה</w:t>
      </w:r>
      <w:r w:rsidRPr="004F7D1B">
        <w:rPr>
          <w:rFonts w:ascii="Arial TUR" w:hAnsi="Arial TUR" w:cs="FrankRuehl"/>
          <w:spacing w:val="10"/>
          <w:sz w:val="22"/>
          <w:szCs w:val="28"/>
          <w:rtl/>
        </w:rPr>
        <w:t>ושתת</w:t>
      </w:r>
      <w:r w:rsidRPr="004F7D1B">
        <w:rPr>
          <w:rFonts w:ascii="Arial TUR" w:hAnsi="Arial TUR" w:cs="FrankRuehl" w:hint="cs"/>
          <w:spacing w:val="10"/>
          <w:sz w:val="22"/>
          <w:szCs w:val="28"/>
          <w:rtl/>
        </w:rPr>
        <w:t>ה</w:t>
      </w:r>
      <w:r w:rsidRPr="004F7D1B">
        <w:rPr>
          <w:rFonts w:ascii="Arial TUR" w:hAnsi="Arial TUR" w:cs="FrankRuehl"/>
          <w:spacing w:val="10"/>
          <w:sz w:val="22"/>
          <w:szCs w:val="28"/>
          <w:rtl/>
        </w:rPr>
        <w:t xml:space="preserve"> העתירה</w:t>
      </w:r>
      <w:r w:rsidRPr="004F7D1B">
        <w:rPr>
          <w:rFonts w:ascii="Arial TUR" w:hAnsi="Arial TUR" w:cs="FrankRuehl" w:hint="cs"/>
          <w:spacing w:val="10"/>
          <w:sz w:val="22"/>
          <w:szCs w:val="28"/>
          <w:rtl/>
        </w:rPr>
        <w:t xml:space="preserve"> כדי להצדיק את ההתערבות המבוקשת בשיקול דעת היועצת המשפטית לממשלה</w:t>
      </w:r>
      <w:r w:rsidRPr="004F7D1B">
        <w:rPr>
          <w:rFonts w:ascii="Arial TUR" w:hAnsi="Arial TUR" w:cs="FrankRuehl"/>
          <w:spacing w:val="10"/>
          <w:sz w:val="22"/>
          <w:szCs w:val="28"/>
          <w:rtl/>
        </w:rPr>
        <w:t xml:space="preserve">. על כן, </w:t>
      </w:r>
      <w:r w:rsidRPr="004F7D1B">
        <w:rPr>
          <w:rFonts w:ascii="Arial TUR" w:hAnsi="Arial TUR" w:cs="FrankRuehl" w:hint="cs"/>
          <w:spacing w:val="10"/>
          <w:sz w:val="22"/>
          <w:szCs w:val="28"/>
          <w:rtl/>
        </w:rPr>
        <w:t xml:space="preserve">ושלא כמו חברי, אני סבורה כי </w:t>
      </w:r>
      <w:r w:rsidRPr="004F7D1B">
        <w:rPr>
          <w:rFonts w:ascii="Arial TUR" w:hAnsi="Arial TUR" w:cs="FrankRuehl"/>
          <w:spacing w:val="10"/>
          <w:sz w:val="22"/>
          <w:szCs w:val="28"/>
          <w:rtl/>
        </w:rPr>
        <w:t xml:space="preserve">היקפה </w:t>
      </w:r>
      <w:r w:rsidRPr="004F7D1B">
        <w:rPr>
          <w:rFonts w:ascii="Arial TUR" w:hAnsi="Arial TUR" w:cs="FrankRuehl" w:hint="cs"/>
          <w:spacing w:val="10"/>
          <w:sz w:val="22"/>
          <w:szCs w:val="28"/>
          <w:rtl/>
        </w:rPr>
        <w:t xml:space="preserve">ומאפיינה </w:t>
      </w:r>
      <w:r w:rsidRPr="004F7D1B">
        <w:rPr>
          <w:rFonts w:ascii="Arial TUR" w:hAnsi="Arial TUR" w:cs="FrankRuehl"/>
          <w:spacing w:val="10"/>
          <w:sz w:val="22"/>
          <w:szCs w:val="28"/>
          <w:rtl/>
        </w:rPr>
        <w:t>של עילה זו ה</w:t>
      </w:r>
      <w:r w:rsidRPr="004F7D1B">
        <w:rPr>
          <w:rFonts w:ascii="Arial TUR" w:hAnsi="Arial TUR" w:cs="FrankRuehl" w:hint="cs"/>
          <w:spacing w:val="10"/>
          <w:sz w:val="22"/>
          <w:szCs w:val="28"/>
          <w:rtl/>
        </w:rPr>
        <w:t xml:space="preserve">ם בוודאי בעלי חשיבות של ממש </w:t>
      </w:r>
      <w:r w:rsidRPr="004F7D1B">
        <w:rPr>
          <w:rFonts w:ascii="Arial TUR" w:hAnsi="Arial TUR" w:cs="FrankRuehl"/>
          <w:spacing w:val="10"/>
          <w:sz w:val="22"/>
          <w:szCs w:val="28"/>
          <w:rtl/>
        </w:rPr>
        <w:t xml:space="preserve">לצורך </w:t>
      </w:r>
      <w:r w:rsidRPr="004F7D1B">
        <w:rPr>
          <w:rFonts w:ascii="Arial TUR" w:hAnsi="Arial TUR" w:cs="FrankRuehl" w:hint="cs"/>
          <w:spacing w:val="10"/>
          <w:sz w:val="22"/>
          <w:szCs w:val="28"/>
          <w:rtl/>
        </w:rPr>
        <w:t>ה</w:t>
      </w:r>
      <w:r w:rsidRPr="004F7D1B">
        <w:rPr>
          <w:rFonts w:ascii="Arial TUR" w:hAnsi="Arial TUR" w:cs="FrankRuehl"/>
          <w:spacing w:val="10"/>
          <w:sz w:val="22"/>
          <w:szCs w:val="28"/>
          <w:rtl/>
        </w:rPr>
        <w:t>הכרעה ב</w:t>
      </w:r>
      <w:r w:rsidRPr="004F7D1B">
        <w:rPr>
          <w:rFonts w:ascii="Arial TUR" w:hAnsi="Arial TUR" w:cs="FrankRuehl" w:hint="cs"/>
          <w:spacing w:val="10"/>
          <w:sz w:val="22"/>
          <w:szCs w:val="28"/>
          <w:rtl/>
        </w:rPr>
        <w:t>ה</w:t>
      </w:r>
      <w:r w:rsidRPr="004F7D1B">
        <w:rPr>
          <w:rFonts w:ascii="Arial TUR" w:hAnsi="Arial TUR" w:cs="FrankRuehl"/>
          <w:spacing w:val="10"/>
          <w:sz w:val="22"/>
          <w:szCs w:val="28"/>
          <w:rtl/>
        </w:rPr>
        <w:t>.</w:t>
      </w:r>
      <w:r w:rsidRPr="004F7D1B">
        <w:rPr>
          <w:rFonts w:ascii="Arial TUR" w:hAnsi="Arial TUR" w:cs="FrankRuehl" w:hint="cs"/>
          <w:spacing w:val="10"/>
          <w:sz w:val="22"/>
          <w:szCs w:val="28"/>
          <w:rtl/>
        </w:rPr>
        <w:t xml:space="preserve"> </w:t>
      </w:r>
      <w:r w:rsidRPr="004F7D1B">
        <w:rPr>
          <w:rFonts w:ascii="Arial TUR" w:hAnsi="Arial TUR" w:cs="FrankRuehl"/>
          <w:spacing w:val="10"/>
          <w:sz w:val="22"/>
          <w:szCs w:val="28"/>
          <w:rtl/>
        </w:rPr>
        <w:t xml:space="preserve">העתירה שבפנינו העמידה במרכזה </w:t>
      </w:r>
      <w:r w:rsidRPr="004F7D1B">
        <w:rPr>
          <w:rFonts w:ascii="Arial TUR" w:hAnsi="Arial TUR" w:cs="FrankRuehl" w:hint="cs"/>
          <w:spacing w:val="10"/>
          <w:sz w:val="22"/>
          <w:szCs w:val="28"/>
          <w:rtl/>
        </w:rPr>
        <w:t xml:space="preserve">טענות שעניינן </w:t>
      </w:r>
      <w:r w:rsidRPr="004F7D1B">
        <w:rPr>
          <w:rFonts w:ascii="Arial TUR" w:hAnsi="Arial TUR" w:cs="FrankRuehl"/>
          <w:spacing w:val="10"/>
          <w:sz w:val="22"/>
          <w:szCs w:val="28"/>
          <w:rtl/>
        </w:rPr>
        <w:t>השיקולים</w:t>
      </w:r>
      <w:r w:rsidRPr="004F7D1B">
        <w:rPr>
          <w:rFonts w:ascii="Arial TUR" w:hAnsi="Arial TUR" w:cs="FrankRuehl" w:hint="cs"/>
          <w:spacing w:val="10"/>
          <w:sz w:val="22"/>
          <w:szCs w:val="28"/>
          <w:rtl/>
        </w:rPr>
        <w:t xml:space="preserve"> השונים</w:t>
      </w:r>
      <w:r w:rsidRPr="004F7D1B">
        <w:rPr>
          <w:rFonts w:ascii="Arial TUR" w:hAnsi="Arial TUR" w:cs="FrankRuehl"/>
          <w:spacing w:val="10"/>
          <w:sz w:val="22"/>
          <w:szCs w:val="28"/>
          <w:rtl/>
        </w:rPr>
        <w:t xml:space="preserve"> שעליה התבססה חוות דעתה של היועצת המשפטית לממשלה, ו</w:t>
      </w:r>
      <w:r w:rsidRPr="004F7D1B">
        <w:rPr>
          <w:rFonts w:ascii="Arial TUR" w:hAnsi="Arial TUR" w:cs="FrankRuehl" w:hint="cs"/>
          <w:spacing w:val="10"/>
          <w:sz w:val="22"/>
          <w:szCs w:val="28"/>
          <w:rtl/>
        </w:rPr>
        <w:t xml:space="preserve">בפרט </w:t>
      </w:r>
      <w:r w:rsidRPr="004F7D1B">
        <w:rPr>
          <w:rFonts w:ascii="Arial TUR" w:hAnsi="Arial TUR" w:cs="FrankRuehl"/>
          <w:spacing w:val="10"/>
          <w:sz w:val="22"/>
          <w:szCs w:val="28"/>
          <w:rtl/>
        </w:rPr>
        <w:t>המשקל שהיה נכון לייחס לכל אחד מהם. לא בכדי בחינת</w:t>
      </w:r>
      <w:r w:rsidRPr="004F7D1B">
        <w:rPr>
          <w:rFonts w:ascii="Arial TUR" w:hAnsi="Arial TUR" w:cs="FrankRuehl" w:hint="cs"/>
          <w:spacing w:val="10"/>
          <w:sz w:val="22"/>
          <w:szCs w:val="28"/>
          <w:rtl/>
        </w:rPr>
        <w:t>ם של</w:t>
      </w:r>
      <w:r w:rsidRPr="004F7D1B">
        <w:rPr>
          <w:rFonts w:ascii="Arial TUR" w:hAnsi="Arial TUR" w:cs="FrankRuehl"/>
          <w:spacing w:val="10"/>
          <w:sz w:val="22"/>
          <w:szCs w:val="28"/>
          <w:rtl/>
        </w:rPr>
        <w:t xml:space="preserve"> שיקולים אלה, אחד לאחד, עמדה במרכז חוות דעתו של חברי השופט </w:t>
      </w:r>
      <w:r w:rsidRPr="004F7D1B">
        <w:rPr>
          <w:rFonts w:ascii="Miriam" w:hAnsi="Miriam" w:cs="Miriam"/>
          <w:spacing w:val="10"/>
          <w:sz w:val="24"/>
          <w:rtl/>
        </w:rPr>
        <w:t>כבוב</w:t>
      </w:r>
      <w:r w:rsidRPr="004F7D1B">
        <w:rPr>
          <w:rFonts w:ascii="Arial TUR" w:hAnsi="Arial TUR" w:cs="FrankRuehl"/>
          <w:spacing w:val="10"/>
          <w:sz w:val="22"/>
          <w:szCs w:val="28"/>
          <w:rtl/>
        </w:rPr>
        <w:t xml:space="preserve">, </w:t>
      </w:r>
      <w:r w:rsidRPr="004F7D1B">
        <w:rPr>
          <w:rFonts w:ascii="Arial TUR" w:hAnsi="Arial TUR" w:cs="FrankRuehl" w:hint="eastAsia"/>
          <w:spacing w:val="10"/>
          <w:sz w:val="22"/>
          <w:szCs w:val="28"/>
          <w:rtl/>
        </w:rPr>
        <w:t>בבואו</w:t>
      </w:r>
      <w:r w:rsidRPr="004F7D1B">
        <w:rPr>
          <w:rFonts w:ascii="Arial TUR" w:hAnsi="Arial TUR" w:cs="FrankRuehl"/>
          <w:spacing w:val="10"/>
          <w:sz w:val="22"/>
          <w:szCs w:val="28"/>
          <w:rtl/>
        </w:rPr>
        <w:t xml:space="preserve"> </w:t>
      </w:r>
      <w:r w:rsidRPr="004F7D1B">
        <w:rPr>
          <w:rFonts w:ascii="Arial TUR" w:hAnsi="Arial TUR" w:cs="FrankRuehl" w:hint="cs"/>
          <w:spacing w:val="10"/>
          <w:sz w:val="22"/>
          <w:szCs w:val="28"/>
          <w:rtl/>
        </w:rPr>
        <w:t>לנתח</w:t>
      </w:r>
      <w:r w:rsidRPr="004F7D1B">
        <w:rPr>
          <w:rFonts w:ascii="Arial TUR" w:hAnsi="Arial TUR" w:cs="FrankRuehl"/>
          <w:spacing w:val="10"/>
          <w:sz w:val="22"/>
          <w:szCs w:val="28"/>
          <w:rtl/>
        </w:rPr>
        <w:t xml:space="preserve"> את הפעלת שיקול דעת</w:t>
      </w:r>
      <w:r w:rsidRPr="004F7D1B">
        <w:rPr>
          <w:rFonts w:ascii="Arial TUR" w:hAnsi="Arial TUR" w:cs="FrankRuehl" w:hint="cs"/>
          <w:spacing w:val="10"/>
          <w:sz w:val="22"/>
          <w:szCs w:val="28"/>
          <w:rtl/>
        </w:rPr>
        <w:t>ה של היועצת המשפטית לממשלה</w:t>
      </w:r>
      <w:r w:rsidRPr="004F7D1B">
        <w:rPr>
          <w:rFonts w:ascii="Arial TUR" w:hAnsi="Arial TUR" w:cs="FrankRuehl"/>
          <w:spacing w:val="10"/>
          <w:sz w:val="22"/>
          <w:szCs w:val="28"/>
          <w:rtl/>
        </w:rPr>
        <w:t xml:space="preserve">. </w:t>
      </w:r>
      <w:r w:rsidRPr="004F7D1B">
        <w:rPr>
          <w:rFonts w:ascii="Arial TUR" w:hAnsi="Arial TUR" w:cs="FrankRuehl" w:hint="cs"/>
          <w:spacing w:val="10"/>
          <w:sz w:val="22"/>
          <w:szCs w:val="28"/>
          <w:rtl/>
        </w:rPr>
        <w:t xml:space="preserve">כפי שידוע, </w:t>
      </w:r>
      <w:r w:rsidRPr="004F7D1B">
        <w:rPr>
          <w:rFonts w:ascii="Arial TUR" w:hAnsi="Arial TUR" w:cs="FrankRuehl"/>
          <w:spacing w:val="10"/>
          <w:sz w:val="22"/>
          <w:szCs w:val="28"/>
          <w:rtl/>
        </w:rPr>
        <w:t>עניין של יום ביומו בבית משפט זה הוא שלצורך מתן ההכרעה השיפוטית מוצגת הנורמה המשפטית, ולאחר מכן נדונה החלתה בנסיבות העניין. במלים אחרות,</w:t>
      </w:r>
      <w:r w:rsidRPr="004F7D1B">
        <w:rPr>
          <w:rFonts w:ascii="Arial TUR" w:hAnsi="Arial TUR" w:cs="FrankRuehl" w:hint="cs"/>
          <w:spacing w:val="10"/>
          <w:sz w:val="22"/>
          <w:szCs w:val="28"/>
          <w:rtl/>
        </w:rPr>
        <w:t xml:space="preserve"> בשונה מהתרשמותו של חברי השופט </w:t>
      </w:r>
      <w:r w:rsidRPr="004F7D1B">
        <w:rPr>
          <w:rFonts w:ascii="Century" w:hAnsi="Century" w:cs="Miriam" w:hint="eastAsia"/>
          <w:b/>
          <w:sz w:val="22"/>
          <w:rtl/>
        </w:rPr>
        <w:t>סולברג</w:t>
      </w:r>
      <w:r w:rsidRPr="004F7D1B">
        <w:rPr>
          <w:rFonts w:ascii="Arial TUR" w:hAnsi="Arial TUR" w:cs="FrankRuehl" w:hint="cs"/>
          <w:spacing w:val="10"/>
          <w:sz w:val="22"/>
          <w:szCs w:val="28"/>
          <w:rtl/>
        </w:rPr>
        <w:t xml:space="preserve">, כלל </w:t>
      </w:r>
      <w:r w:rsidRPr="004F7D1B">
        <w:rPr>
          <w:rFonts w:ascii="Arial TUR" w:hAnsi="Arial TUR" w:cs="FrankRuehl"/>
          <w:spacing w:val="10"/>
          <w:sz w:val="22"/>
          <w:szCs w:val="28"/>
          <w:rtl/>
        </w:rPr>
        <w:t>לא פרסתי את "משנתי", אלא הצגתי את ההלכה הפסוקה בעניינה של עילת הסבירות, מאחר שזוהי המסגרת הנורמטיבית המרכזית לדיון בעתירה שבפנינו.</w:t>
      </w:r>
      <w:r w:rsidRPr="004F7D1B">
        <w:rPr>
          <w:rFonts w:ascii="Arial TUR" w:hAnsi="Arial TUR" w:cs="FrankRuehl" w:hint="cs"/>
          <w:spacing w:val="10"/>
          <w:sz w:val="22"/>
          <w:szCs w:val="28"/>
          <w:rtl/>
        </w:rPr>
        <w:t xml:space="preserve"> </w:t>
      </w:r>
      <w:r w:rsidRPr="004F7D1B">
        <w:rPr>
          <w:rFonts w:ascii="Arial TUR" w:hAnsi="Arial TUR" w:cs="FrankRuehl"/>
          <w:spacing w:val="10"/>
          <w:sz w:val="22"/>
          <w:szCs w:val="28"/>
          <w:rtl/>
        </w:rPr>
        <w:t>בחינת השיקולים שביסוד ההחלטה</w:t>
      </w:r>
      <w:r w:rsidRPr="004F7D1B">
        <w:rPr>
          <w:rFonts w:ascii="Arial TUR" w:hAnsi="Arial TUR" w:cs="FrankRuehl" w:hint="cs"/>
          <w:spacing w:val="10"/>
          <w:sz w:val="22"/>
          <w:szCs w:val="28"/>
          <w:rtl/>
        </w:rPr>
        <w:t>,</w:t>
      </w:r>
      <w:r w:rsidRPr="004F7D1B">
        <w:rPr>
          <w:rFonts w:ascii="Arial TUR" w:hAnsi="Arial TUR" w:cs="FrankRuehl"/>
          <w:spacing w:val="10"/>
          <w:sz w:val="22"/>
          <w:szCs w:val="28"/>
          <w:rtl/>
        </w:rPr>
        <w:t xml:space="preserve"> על </w:t>
      </w:r>
      <w:proofErr w:type="spellStart"/>
      <w:r w:rsidRPr="004F7D1B">
        <w:rPr>
          <w:rFonts w:ascii="Arial TUR" w:hAnsi="Arial TUR" w:cs="FrankRuehl"/>
          <w:spacing w:val="10"/>
          <w:sz w:val="22"/>
          <w:szCs w:val="28"/>
          <w:rtl/>
        </w:rPr>
        <w:t>האיזונים</w:t>
      </w:r>
      <w:proofErr w:type="spellEnd"/>
      <w:r w:rsidRPr="004F7D1B">
        <w:rPr>
          <w:rFonts w:ascii="Arial TUR" w:hAnsi="Arial TUR" w:cs="FrankRuehl"/>
          <w:spacing w:val="10"/>
          <w:sz w:val="22"/>
          <w:szCs w:val="28"/>
          <w:rtl/>
        </w:rPr>
        <w:t xml:space="preserve"> ביניהם</w:t>
      </w:r>
      <w:r w:rsidRPr="004F7D1B">
        <w:rPr>
          <w:rFonts w:ascii="Arial TUR" w:hAnsi="Arial TUR" w:cs="FrankRuehl" w:hint="cs"/>
          <w:spacing w:val="10"/>
          <w:sz w:val="22"/>
          <w:szCs w:val="28"/>
          <w:rtl/>
        </w:rPr>
        <w:t>,</w:t>
      </w:r>
      <w:r w:rsidRPr="004F7D1B">
        <w:rPr>
          <w:rFonts w:ascii="Arial TUR" w:hAnsi="Arial TUR" w:cs="FrankRuehl"/>
          <w:spacing w:val="10"/>
          <w:sz w:val="22"/>
          <w:szCs w:val="28"/>
          <w:rtl/>
        </w:rPr>
        <w:t xml:space="preserve"> היא בחינה </w:t>
      </w:r>
      <w:r w:rsidRPr="004F7D1B">
        <w:rPr>
          <w:rFonts w:ascii="Arial TUR" w:hAnsi="Arial TUR" w:cs="FrankRuehl" w:hint="cs"/>
          <w:spacing w:val="10"/>
          <w:sz w:val="22"/>
          <w:szCs w:val="28"/>
          <w:rtl/>
        </w:rPr>
        <w:t>משפטית הנשענת על עילת ה</w:t>
      </w:r>
      <w:r w:rsidRPr="004F7D1B">
        <w:rPr>
          <w:rFonts w:ascii="Arial TUR" w:hAnsi="Arial TUR" w:cs="FrankRuehl"/>
          <w:spacing w:val="10"/>
          <w:sz w:val="22"/>
          <w:szCs w:val="28"/>
          <w:rtl/>
        </w:rPr>
        <w:t>סבירות, ככל שלא מדובר בשיקולים זרים, וכאלה לא היו כמובן בפנינו.</w:t>
      </w:r>
      <w:r w:rsidRPr="004F7D1B">
        <w:rPr>
          <w:rFonts w:ascii="Arial TUR" w:hAnsi="Arial TUR" w:cs="FrankRuehl" w:hint="cs"/>
          <w:spacing w:val="10"/>
          <w:sz w:val="22"/>
          <w:szCs w:val="28"/>
          <w:rtl/>
        </w:rPr>
        <w:t xml:space="preserve"> עוד אוסיף כי </w:t>
      </w:r>
      <w:r w:rsidRPr="004F7D1B">
        <w:rPr>
          <w:rFonts w:ascii="Arial TUR" w:hAnsi="Arial TUR" w:cs="FrankRuehl"/>
          <w:spacing w:val="10"/>
          <w:sz w:val="22"/>
          <w:szCs w:val="28"/>
          <w:rtl/>
        </w:rPr>
        <w:t xml:space="preserve">חברי השופט </w:t>
      </w:r>
      <w:r w:rsidRPr="004F7D1B">
        <w:rPr>
          <w:rFonts w:ascii="Century" w:hAnsi="Century" w:cs="Miriam"/>
          <w:b/>
          <w:sz w:val="22"/>
          <w:rtl/>
        </w:rPr>
        <w:t>סולברג</w:t>
      </w:r>
      <w:r w:rsidRPr="004F7D1B">
        <w:rPr>
          <w:rFonts w:ascii="Arial TUR" w:hAnsi="Arial TUR" w:cs="FrankRuehl"/>
          <w:spacing w:val="10"/>
          <w:sz w:val="22"/>
          <w:szCs w:val="28"/>
          <w:rtl/>
        </w:rPr>
        <w:t xml:space="preserve"> הזכיר את העילות של התעלמות משיקולים רלוונטיים ושל ניגוד עניינים. למען הסר ספק, דעתי היא כדעתם של הגורסים כי התעלמות משיקולים רלוונטיים היא אך "מקרה קצה" של אי-סבירות. אדרבה, מי שרואה בהתעלמות משיקולים רלוונטיים עילה נפרדת</w:t>
      </w:r>
      <w:r w:rsidRPr="004F7D1B">
        <w:rPr>
          <w:rFonts w:ascii="Arial TUR" w:hAnsi="Arial TUR" w:cs="FrankRuehl" w:hint="cs"/>
          <w:spacing w:val="10"/>
          <w:sz w:val="22"/>
          <w:szCs w:val="28"/>
          <w:rtl/>
        </w:rPr>
        <w:t>,</w:t>
      </w:r>
      <w:r w:rsidRPr="004F7D1B">
        <w:rPr>
          <w:rFonts w:ascii="Arial TUR" w:hAnsi="Arial TUR" w:cs="FrankRuehl"/>
          <w:spacing w:val="10"/>
          <w:sz w:val="22"/>
          <w:szCs w:val="28"/>
          <w:rtl/>
        </w:rPr>
        <w:t xml:space="preserve"> סבור בדרך-כלל כי </w:t>
      </w:r>
      <w:r w:rsidRPr="004F7D1B">
        <w:rPr>
          <w:rFonts w:ascii="Arial TUR" w:hAnsi="Arial TUR" w:cs="FrankRuehl"/>
          <w:spacing w:val="10"/>
          <w:sz w:val="22"/>
          <w:szCs w:val="28"/>
          <w:rtl/>
        </w:rPr>
        <w:lastRenderedPageBreak/>
        <w:t xml:space="preserve">במקרה של התעלמות כזו </w:t>
      </w:r>
      <w:r w:rsidRPr="004F7D1B">
        <w:rPr>
          <w:rFonts w:ascii="Arial TUR" w:hAnsi="Arial TUR" w:cs="FrankRuehl" w:hint="cs"/>
          <w:spacing w:val="10"/>
          <w:sz w:val="22"/>
          <w:szCs w:val="28"/>
          <w:rtl/>
        </w:rPr>
        <w:t xml:space="preserve">על </w:t>
      </w:r>
      <w:r w:rsidRPr="004F7D1B">
        <w:rPr>
          <w:rFonts w:ascii="Arial TUR" w:hAnsi="Arial TUR" w:cs="FrankRuehl"/>
          <w:spacing w:val="10"/>
          <w:sz w:val="22"/>
          <w:szCs w:val="28"/>
          <w:rtl/>
        </w:rPr>
        <w:t xml:space="preserve">הביקורת השיפוטית </w:t>
      </w:r>
      <w:r w:rsidRPr="004F7D1B">
        <w:rPr>
          <w:rFonts w:ascii="Arial TUR" w:hAnsi="Arial TUR" w:cs="FrankRuehl" w:hint="cs"/>
          <w:spacing w:val="10"/>
          <w:sz w:val="22"/>
          <w:szCs w:val="28"/>
          <w:rtl/>
        </w:rPr>
        <w:t>להיות</w:t>
      </w:r>
      <w:r w:rsidRPr="004F7D1B">
        <w:rPr>
          <w:rFonts w:ascii="Arial TUR" w:hAnsi="Arial TUR" w:cs="FrankRuehl"/>
          <w:spacing w:val="10"/>
          <w:sz w:val="22"/>
          <w:szCs w:val="28"/>
          <w:rtl/>
        </w:rPr>
        <w:t xml:space="preserve"> נרחבת יותר, ולא רק כאשר הרשות חרגה ממתחם הסבירות (ראו והשוו: </w:t>
      </w:r>
      <w:proofErr w:type="spellStart"/>
      <w:r w:rsidRPr="004F7D1B">
        <w:rPr>
          <w:rFonts w:ascii="Arial TUR" w:hAnsi="Arial TUR" w:cs="FrankRuehl"/>
          <w:spacing w:val="10"/>
          <w:sz w:val="22"/>
          <w:szCs w:val="28"/>
          <w:rtl/>
        </w:rPr>
        <w:t>דנג"ץ</w:t>
      </w:r>
      <w:proofErr w:type="spellEnd"/>
      <w:r w:rsidRPr="004F7D1B">
        <w:rPr>
          <w:rFonts w:ascii="Arial TUR" w:hAnsi="Arial TUR" w:cs="FrankRuehl"/>
          <w:spacing w:val="10"/>
          <w:sz w:val="22"/>
          <w:szCs w:val="28"/>
          <w:rtl/>
        </w:rPr>
        <w:t xml:space="preserve"> 3299/93 </w:t>
      </w:r>
      <w:proofErr w:type="spellStart"/>
      <w:r w:rsidRPr="004F7D1B">
        <w:rPr>
          <w:rFonts w:ascii="Century" w:hAnsi="Century" w:cs="Miriam"/>
          <w:b/>
          <w:sz w:val="22"/>
          <w:rtl/>
        </w:rPr>
        <w:t>ויכסלבאום</w:t>
      </w:r>
      <w:proofErr w:type="spellEnd"/>
      <w:r w:rsidRPr="004F7D1B">
        <w:rPr>
          <w:rFonts w:ascii="Century" w:hAnsi="Century" w:cs="Miriam"/>
          <w:b/>
          <w:sz w:val="22"/>
          <w:rtl/>
        </w:rPr>
        <w:t xml:space="preserve"> נ' שר הביטחון</w:t>
      </w:r>
      <w:r w:rsidRPr="004F7D1B">
        <w:rPr>
          <w:rFonts w:ascii="Arial TUR" w:hAnsi="Arial TUR" w:cs="FrankRuehl"/>
          <w:spacing w:val="10"/>
          <w:sz w:val="22"/>
          <w:szCs w:val="28"/>
          <w:rtl/>
        </w:rPr>
        <w:t>, פ"ד מט(2) 195, 210 (1995)</w:t>
      </w:r>
      <w:r w:rsidRPr="004F7D1B">
        <w:rPr>
          <w:rFonts w:ascii="Arial TUR" w:hAnsi="Arial TUR" w:cs="FrankRuehl" w:hint="cs"/>
          <w:spacing w:val="10"/>
          <w:sz w:val="22"/>
          <w:szCs w:val="28"/>
          <w:rtl/>
        </w:rPr>
        <w:t>)</w:t>
      </w:r>
      <w:r w:rsidRPr="004F7D1B">
        <w:rPr>
          <w:rFonts w:ascii="Arial TUR" w:hAnsi="Arial TUR" w:cs="FrankRuehl"/>
          <w:spacing w:val="10"/>
          <w:sz w:val="22"/>
          <w:szCs w:val="28"/>
          <w:rtl/>
        </w:rPr>
        <w:t xml:space="preserve">. בכל מקרה, כפי שמראה חברי השופט </w:t>
      </w:r>
      <w:r w:rsidRPr="004F7D1B">
        <w:rPr>
          <w:rFonts w:ascii="Miriam" w:hAnsi="Miriam" w:cs="Miriam"/>
          <w:spacing w:val="10"/>
          <w:sz w:val="24"/>
          <w:rtl/>
        </w:rPr>
        <w:t>כבוב</w:t>
      </w:r>
      <w:r w:rsidRPr="004F7D1B">
        <w:rPr>
          <w:rFonts w:ascii="FrankRuehl" w:hAnsi="FrankRuehl" w:cs="FrankRuehl"/>
          <w:spacing w:val="10"/>
          <w:sz w:val="24"/>
          <w:rtl/>
        </w:rPr>
        <w:t>,</w:t>
      </w:r>
      <w:r w:rsidRPr="004F7D1B">
        <w:rPr>
          <w:rFonts w:ascii="Miriam" w:hAnsi="Miriam" w:cs="Miriam"/>
          <w:spacing w:val="10"/>
          <w:sz w:val="24"/>
          <w:rtl/>
        </w:rPr>
        <w:t xml:space="preserve"> </w:t>
      </w:r>
      <w:r w:rsidRPr="004F7D1B">
        <w:rPr>
          <w:rFonts w:ascii="Arial TUR" w:hAnsi="Arial TUR" w:cs="FrankRuehl"/>
          <w:spacing w:val="10"/>
          <w:sz w:val="22"/>
          <w:szCs w:val="28"/>
          <w:rtl/>
        </w:rPr>
        <w:t>לעילה של ניגוד עניינים לא הייתה כל אחיזה ממשית במקרה זה (כמוסבר בפסקה 57 לחוות דעתו).</w:t>
      </w:r>
      <w:r w:rsidRPr="004F7D1B">
        <w:rPr>
          <w:rFonts w:ascii="Arial TUR" w:hAnsi="Arial TUR" w:cs="FrankRuehl" w:hint="cs"/>
          <w:spacing w:val="10"/>
          <w:sz w:val="22"/>
          <w:szCs w:val="28"/>
          <w:rtl/>
        </w:rPr>
        <w:t xml:space="preserve"> </w:t>
      </w:r>
      <w:r w:rsidRPr="004F7D1B">
        <w:rPr>
          <w:rFonts w:ascii="Arial TUR" w:hAnsi="Arial TUR" w:cs="FrankRuehl"/>
          <w:spacing w:val="10"/>
          <w:sz w:val="22"/>
          <w:szCs w:val="28"/>
          <w:rtl/>
        </w:rPr>
        <w:t xml:space="preserve">לעמדתי, חשוב להגדיר את הכלל המשפטי שבו בית המשפט עושה שימוש, מאחר שהדבר תורם לבהירות הדין. כמובן, כמו בסוגיות אחרות, </w:t>
      </w:r>
      <w:r w:rsidRPr="004F7D1B">
        <w:rPr>
          <w:rFonts w:ascii="Arial TUR" w:hAnsi="Arial TUR" w:cs="FrankRuehl" w:hint="cs"/>
          <w:spacing w:val="10"/>
          <w:sz w:val="22"/>
          <w:szCs w:val="28"/>
          <w:rtl/>
        </w:rPr>
        <w:t xml:space="preserve"> גם ביחס לסבירות </w:t>
      </w:r>
      <w:r w:rsidRPr="004F7D1B">
        <w:rPr>
          <w:rFonts w:ascii="Arial TUR" w:hAnsi="Arial TUR" w:cs="FrankRuehl"/>
          <w:spacing w:val="10"/>
          <w:sz w:val="22"/>
          <w:szCs w:val="28"/>
          <w:rtl/>
        </w:rPr>
        <w:t>יש לעתים דעות שונות. אולם, התבססות על ההלכה הפסוקה היא</w:t>
      </w:r>
      <w:r w:rsidRPr="004F7D1B">
        <w:rPr>
          <w:rFonts w:ascii="Arial TUR" w:hAnsi="Arial TUR" w:cs="FrankRuehl" w:hint="cs"/>
          <w:spacing w:val="10"/>
          <w:sz w:val="22"/>
          <w:szCs w:val="28"/>
          <w:rtl/>
        </w:rPr>
        <w:t xml:space="preserve"> כידוע</w:t>
      </w:r>
      <w:r w:rsidRPr="004F7D1B">
        <w:rPr>
          <w:rFonts w:ascii="Arial TUR" w:hAnsi="Arial TUR" w:cs="FrankRuehl"/>
          <w:spacing w:val="10"/>
          <w:sz w:val="22"/>
          <w:szCs w:val="28"/>
          <w:rtl/>
        </w:rPr>
        <w:t xml:space="preserve"> ברגיל "דרך המלך". כך או כך, ואפילו הייתי מבקשת להחיל כאן עמדה מצמצמת יותר ביחס לעילת הסבירות, הרי שהמסקנה לפיה אין בפנינו מקרה של אי-סבירות קיצונית ולכן דין העתירה להידחות – הייתה מתחדדת ביתר שאת. הדברים הם בבחינת קל וחומר. לבסוף, אף אני מסכימה כי את החלטותיה של היועצת המשפטית יש לבחון לפי כלל עילות הביקורת של המשפט </w:t>
      </w:r>
      <w:proofErr w:type="spellStart"/>
      <w:r w:rsidRPr="004F7D1B">
        <w:rPr>
          <w:rFonts w:ascii="Arial TUR" w:hAnsi="Arial TUR" w:cs="FrankRuehl"/>
          <w:spacing w:val="10"/>
          <w:sz w:val="22"/>
          <w:szCs w:val="28"/>
          <w:rtl/>
        </w:rPr>
        <w:t>המינהלי</w:t>
      </w:r>
      <w:proofErr w:type="spellEnd"/>
      <w:r w:rsidRPr="004F7D1B">
        <w:rPr>
          <w:rFonts w:ascii="Arial TUR" w:hAnsi="Arial TUR" w:cs="FrankRuehl"/>
          <w:spacing w:val="10"/>
          <w:sz w:val="22"/>
          <w:szCs w:val="28"/>
          <w:rtl/>
        </w:rPr>
        <w:t xml:space="preserve">. אולם, </w:t>
      </w:r>
      <w:r w:rsidRPr="004F7D1B">
        <w:rPr>
          <w:rFonts w:ascii="Arial TUR" w:hAnsi="Arial TUR" w:cs="FrankRuehl" w:hint="cs"/>
          <w:spacing w:val="10"/>
          <w:sz w:val="22"/>
          <w:szCs w:val="28"/>
          <w:rtl/>
        </w:rPr>
        <w:t xml:space="preserve">כאמור לעיל, </w:t>
      </w:r>
      <w:r w:rsidRPr="004F7D1B">
        <w:rPr>
          <w:rFonts w:ascii="Arial TUR" w:hAnsi="Arial TUR" w:cs="FrankRuehl"/>
          <w:spacing w:val="10"/>
          <w:sz w:val="22"/>
          <w:szCs w:val="28"/>
          <w:rtl/>
        </w:rPr>
        <w:t xml:space="preserve">הדיון </w:t>
      </w:r>
      <w:r w:rsidRPr="004F7D1B">
        <w:rPr>
          <w:rFonts w:ascii="Arial TUR" w:hAnsi="Arial TUR" w:cs="FrankRuehl" w:hint="cs"/>
          <w:spacing w:val="10"/>
          <w:sz w:val="22"/>
          <w:szCs w:val="28"/>
          <w:rtl/>
        </w:rPr>
        <w:t>בעתירה ש</w:t>
      </w:r>
      <w:r w:rsidRPr="004F7D1B">
        <w:rPr>
          <w:rFonts w:ascii="Arial TUR" w:hAnsi="Arial TUR" w:cs="FrankRuehl"/>
          <w:spacing w:val="10"/>
          <w:sz w:val="22"/>
          <w:szCs w:val="28"/>
          <w:rtl/>
        </w:rPr>
        <w:t>בפנינו נסב</w:t>
      </w:r>
      <w:r w:rsidRPr="004F7D1B">
        <w:rPr>
          <w:rFonts w:ascii="Arial TUR" w:hAnsi="Arial TUR" w:cs="FrankRuehl" w:hint="cs"/>
          <w:spacing w:val="10"/>
          <w:sz w:val="22"/>
          <w:szCs w:val="28"/>
          <w:rtl/>
        </w:rPr>
        <w:t>, מבחינה מהותית,</w:t>
      </w:r>
      <w:r w:rsidRPr="004F7D1B">
        <w:rPr>
          <w:rFonts w:ascii="Arial TUR" w:hAnsi="Arial TUR" w:cs="FrankRuehl"/>
          <w:spacing w:val="10"/>
          <w:sz w:val="22"/>
          <w:szCs w:val="28"/>
          <w:rtl/>
        </w:rPr>
        <w:t xml:space="preserve"> בעיקר על </w:t>
      </w:r>
      <w:r w:rsidRPr="004F7D1B">
        <w:rPr>
          <w:rFonts w:ascii="Arial TUR" w:hAnsi="Arial TUR" w:cs="FrankRuehl" w:hint="cs"/>
          <w:spacing w:val="10"/>
          <w:sz w:val="22"/>
          <w:szCs w:val="28"/>
          <w:rtl/>
        </w:rPr>
        <w:t>שאלת</w:t>
      </w:r>
      <w:r w:rsidRPr="004F7D1B">
        <w:rPr>
          <w:rFonts w:ascii="Arial TUR" w:hAnsi="Arial TUR" w:cs="FrankRuehl"/>
          <w:spacing w:val="10"/>
          <w:sz w:val="22"/>
          <w:szCs w:val="28"/>
          <w:rtl/>
        </w:rPr>
        <w:t xml:space="preserve"> סבירות </w:t>
      </w:r>
      <w:r w:rsidRPr="004F7D1B">
        <w:rPr>
          <w:rFonts w:ascii="Arial TUR" w:hAnsi="Arial TUR" w:cs="FrankRuehl" w:hint="cs"/>
          <w:spacing w:val="10"/>
          <w:sz w:val="22"/>
          <w:szCs w:val="28"/>
          <w:rtl/>
        </w:rPr>
        <w:t>ההחלטה</w:t>
      </w:r>
      <w:r w:rsidRPr="004F7D1B">
        <w:rPr>
          <w:rFonts w:ascii="Arial TUR" w:hAnsi="Arial TUR" w:cs="FrankRuehl"/>
          <w:spacing w:val="10"/>
          <w:sz w:val="22"/>
          <w:szCs w:val="28"/>
          <w:rtl/>
        </w:rPr>
        <w:t>, וממילא</w:t>
      </w:r>
      <w:r w:rsidRPr="004F7D1B">
        <w:rPr>
          <w:rFonts w:ascii="Arial TUR" w:hAnsi="Arial TUR" w:cs="FrankRuehl" w:hint="cs"/>
          <w:spacing w:val="10"/>
          <w:sz w:val="22"/>
          <w:szCs w:val="28"/>
          <w:rtl/>
        </w:rPr>
        <w:t xml:space="preserve"> מובן ש</w:t>
      </w:r>
      <w:r w:rsidRPr="004F7D1B">
        <w:rPr>
          <w:rFonts w:ascii="Arial TUR" w:hAnsi="Arial TUR" w:cs="FrankRuehl"/>
          <w:spacing w:val="10"/>
          <w:sz w:val="22"/>
          <w:szCs w:val="28"/>
          <w:rtl/>
        </w:rPr>
        <w:t xml:space="preserve">בכך ראיתי להתמקד. </w:t>
      </w:r>
    </w:p>
    <w:p w:rsidR="00F10301" w:rsidRDefault="002539E8" w:rsidP="002539E8">
      <w:pPr>
        <w:tabs>
          <w:tab w:val="left" w:pos="800"/>
        </w:tabs>
        <w:spacing w:before="240" w:after="240" w:line="360" w:lineRule="auto"/>
        <w:jc w:val="both"/>
        <w:textAlignment w:val="auto"/>
        <w:rPr>
          <w:rFonts w:ascii="Arial TUR" w:hAnsi="Arial TUR" w:cs="FrankRuehl"/>
          <w:spacing w:val="10"/>
          <w:sz w:val="22"/>
          <w:szCs w:val="28"/>
          <w:rtl/>
        </w:rPr>
      </w:pPr>
      <w:r w:rsidRPr="002539E8">
        <w:rPr>
          <w:rFonts w:ascii="Arial TUR" w:hAnsi="Arial TUR" w:cs="FrankRuehl" w:hint="cs"/>
          <w:spacing w:val="10"/>
          <w:sz w:val="22"/>
          <w:szCs w:val="28"/>
          <w:rtl/>
        </w:rPr>
        <w:t xml:space="preserve">10. </w:t>
      </w:r>
      <w:r w:rsidRPr="002539E8">
        <w:rPr>
          <w:rFonts w:ascii="Arial TUR" w:hAnsi="Arial TUR" w:cs="FrankRuehl" w:hint="cs"/>
          <w:spacing w:val="10"/>
          <w:sz w:val="22"/>
          <w:szCs w:val="28"/>
          <w:rtl/>
        </w:rPr>
        <w:tab/>
        <w:t>בסיכומו של דבר, אני מצטרפת לדחיית העתירה. קבלת עתירות מן הסוג דנן שמורה למקרים של אי-סבירות קיצונית, וכזו לא נמצאה במקרה שלפנינו.</w:t>
      </w:r>
    </w:p>
    <w:p w:rsidR="002539E8" w:rsidRPr="002539E8" w:rsidRDefault="002539E8" w:rsidP="002539E8">
      <w:pPr>
        <w:tabs>
          <w:tab w:val="left" w:pos="800"/>
        </w:tabs>
        <w:spacing w:line="360" w:lineRule="auto"/>
        <w:jc w:val="both"/>
        <w:textAlignment w:val="auto"/>
        <w:rPr>
          <w:rFonts w:ascii="Arial TUR" w:hAnsi="Arial TUR" w:cs="FrankRuehl"/>
          <w:spacing w:val="10"/>
          <w:sz w:val="22"/>
          <w:szCs w:val="28"/>
          <w:rtl/>
        </w:rPr>
      </w:pPr>
    </w:p>
    <w:p w:rsidR="00DB6151" w:rsidRPr="00DB1AA8" w:rsidRDefault="00DB6151" w:rsidP="00DB6151">
      <w:pPr>
        <w:spacing w:line="360" w:lineRule="auto"/>
        <w:rPr>
          <w:rFonts w:ascii="Century" w:hAnsi="Century" w:cs="FrankRuehl"/>
          <w:spacing w:val="10"/>
          <w:sz w:val="22"/>
          <w:szCs w:val="28"/>
          <w:rtl/>
        </w:rPr>
      </w:pPr>
      <w:r w:rsidRPr="00DB1AA8">
        <w:rPr>
          <w:rFonts w:ascii="Century" w:hAnsi="Century" w:cs="FrankRuehl" w:hint="cs"/>
          <w:spacing w:val="10"/>
          <w:sz w:val="22"/>
          <w:szCs w:val="28"/>
          <w:rtl/>
        </w:rPr>
        <w:tab/>
      </w:r>
      <w:r w:rsidRPr="00DB1AA8">
        <w:rPr>
          <w:rFonts w:ascii="Century" w:hAnsi="Century" w:cs="FrankRuehl" w:hint="cs"/>
          <w:spacing w:val="10"/>
          <w:sz w:val="22"/>
          <w:szCs w:val="28"/>
          <w:rtl/>
        </w:rPr>
        <w:tab/>
      </w:r>
      <w:r w:rsidRPr="00DB1AA8">
        <w:rPr>
          <w:rFonts w:ascii="Century" w:hAnsi="Century" w:cs="FrankRuehl" w:hint="cs"/>
          <w:spacing w:val="10"/>
          <w:sz w:val="22"/>
          <w:szCs w:val="28"/>
          <w:rtl/>
        </w:rPr>
        <w:tab/>
      </w:r>
      <w:r w:rsidRPr="00DB1AA8">
        <w:rPr>
          <w:rFonts w:ascii="Century" w:hAnsi="Century" w:cs="FrankRuehl" w:hint="cs"/>
          <w:spacing w:val="10"/>
          <w:sz w:val="22"/>
          <w:szCs w:val="28"/>
          <w:rtl/>
        </w:rPr>
        <w:tab/>
      </w:r>
      <w:r w:rsidRPr="00DB1AA8">
        <w:rPr>
          <w:rFonts w:ascii="Century" w:hAnsi="Century" w:cs="FrankRuehl" w:hint="cs"/>
          <w:spacing w:val="10"/>
          <w:sz w:val="22"/>
          <w:szCs w:val="28"/>
          <w:rtl/>
        </w:rPr>
        <w:tab/>
      </w:r>
      <w:r w:rsidRPr="00DB1AA8">
        <w:rPr>
          <w:rFonts w:ascii="Century" w:hAnsi="Century" w:cs="FrankRuehl" w:hint="cs"/>
          <w:spacing w:val="10"/>
          <w:sz w:val="22"/>
          <w:szCs w:val="28"/>
          <w:rtl/>
        </w:rPr>
        <w:tab/>
      </w:r>
      <w:r w:rsidRPr="00DB1AA8">
        <w:rPr>
          <w:rFonts w:ascii="Century" w:hAnsi="Century" w:cs="FrankRuehl" w:hint="cs"/>
          <w:spacing w:val="10"/>
          <w:sz w:val="22"/>
          <w:szCs w:val="28"/>
          <w:rtl/>
        </w:rPr>
        <w:tab/>
      </w:r>
      <w:r w:rsidR="00F10301">
        <w:rPr>
          <w:rFonts w:ascii="Century" w:hAnsi="Century" w:cs="FrankRuehl"/>
          <w:spacing w:val="10"/>
          <w:sz w:val="22"/>
          <w:szCs w:val="28"/>
          <w:rtl/>
        </w:rPr>
        <w:tab/>
      </w:r>
      <w:r w:rsidRPr="00DB1AA8">
        <w:rPr>
          <w:rFonts w:ascii="Century" w:hAnsi="Century" w:cs="FrankRuehl" w:hint="cs"/>
          <w:spacing w:val="10"/>
          <w:sz w:val="22"/>
          <w:szCs w:val="28"/>
          <w:rtl/>
        </w:rPr>
        <w:tab/>
        <w:t>ש ו פ ט ת</w:t>
      </w:r>
    </w:p>
    <w:p w:rsidR="00DB6151" w:rsidRDefault="00DB6151" w:rsidP="00DB6151">
      <w:pPr>
        <w:pStyle w:val="Ruller41"/>
        <w:rPr>
          <w:rFonts w:ascii="Century" w:hAnsi="Century"/>
          <w:rtl/>
        </w:rPr>
      </w:pPr>
    </w:p>
    <w:p w:rsidR="00DB6151" w:rsidRDefault="00DB6151" w:rsidP="00DB6151">
      <w:pPr>
        <w:pStyle w:val="Ruller41"/>
        <w:rPr>
          <w:rFonts w:ascii="Century" w:hAnsi="Century"/>
          <w:rtl/>
        </w:rPr>
      </w:pPr>
    </w:p>
    <w:p w:rsidR="00DB6151" w:rsidRPr="00DB1AA8" w:rsidRDefault="00DB6151" w:rsidP="00DB6151">
      <w:pPr>
        <w:pStyle w:val="Ruller41"/>
        <w:rPr>
          <w:rFonts w:ascii="Century" w:hAnsi="Century"/>
          <w:rtl/>
        </w:rPr>
      </w:pPr>
      <w:r>
        <w:rPr>
          <w:rFonts w:ascii="Century" w:hAnsi="Century" w:hint="cs"/>
          <w:rtl/>
        </w:rPr>
        <w:tab/>
        <w:t xml:space="preserve">הוחלט כאמור בפסק דינו של השופט </w:t>
      </w:r>
      <w:r w:rsidRPr="0049657A">
        <w:rPr>
          <w:rFonts w:ascii="Century" w:hAnsi="Century" w:cs="Miriam" w:hint="cs"/>
          <w:b/>
          <w:spacing w:val="0"/>
          <w:szCs w:val="24"/>
          <w:rtl/>
        </w:rPr>
        <w:t>ח' כבוב</w:t>
      </w:r>
      <w:r w:rsidRPr="0049657A">
        <w:rPr>
          <w:rFonts w:ascii="Century" w:hAnsi="Century" w:hint="cs"/>
          <w:rtl/>
        </w:rPr>
        <w:t>.</w:t>
      </w:r>
    </w:p>
    <w:p w:rsidR="00DB6151" w:rsidRDefault="00DB6151" w:rsidP="00DB6151">
      <w:pPr>
        <w:pStyle w:val="Ruller41"/>
        <w:rPr>
          <w:rFonts w:ascii="Century" w:hAnsi="Century"/>
          <w:rtl/>
        </w:rPr>
      </w:pPr>
    </w:p>
    <w:p w:rsidR="00DB6151" w:rsidRDefault="002539E8" w:rsidP="00F32D33">
      <w:pPr>
        <w:pStyle w:val="Ruller41"/>
        <w:rPr>
          <w:rFonts w:ascii="Century" w:hAnsi="Century"/>
          <w:rtl/>
        </w:rPr>
      </w:pPr>
      <w:r>
        <w:rPr>
          <w:rFonts w:ascii="Century" w:hAnsi="Century"/>
          <w:rtl/>
        </w:rPr>
        <w:tab/>
      </w:r>
      <w:r w:rsidR="00F32D33">
        <w:rPr>
          <w:rFonts w:ascii="Century" w:hAnsi="Century" w:hint="eastAsia"/>
          <w:rtl/>
        </w:rPr>
        <w:t>נית</w:t>
      </w:r>
      <w:r w:rsidR="00F32D33">
        <w:rPr>
          <w:rFonts w:ascii="Century" w:hAnsi="Century" w:hint="cs"/>
          <w:rtl/>
        </w:rPr>
        <w:t>ן</w:t>
      </w:r>
      <w:r w:rsidR="00F32D33">
        <w:rPr>
          <w:rFonts w:ascii="Century" w:hAnsi="Century"/>
          <w:rtl/>
        </w:rPr>
        <w:t xml:space="preserve"> </w:t>
      </w:r>
      <w:r w:rsidR="00F32D33">
        <w:rPr>
          <w:rFonts w:ascii="Century" w:hAnsi="Century" w:hint="eastAsia"/>
          <w:rtl/>
        </w:rPr>
        <w:t>היום</w:t>
      </w:r>
      <w:r w:rsidR="00F32D33">
        <w:rPr>
          <w:rFonts w:ascii="Century" w:hAnsi="Century"/>
          <w:rtl/>
        </w:rPr>
        <w:t xml:space="preserve">, </w:t>
      </w:r>
      <w:r w:rsidR="00F32D33">
        <w:rPr>
          <w:rFonts w:ascii="Century" w:hAnsi="Century" w:hint="eastAsia"/>
          <w:rtl/>
        </w:rPr>
        <w:t>‏כ</w:t>
      </w:r>
      <w:r w:rsidR="00F32D33">
        <w:rPr>
          <w:rFonts w:ascii="Century" w:hAnsi="Century"/>
          <w:rtl/>
        </w:rPr>
        <w:t>"</w:t>
      </w:r>
      <w:r w:rsidR="00F32D33">
        <w:rPr>
          <w:rFonts w:ascii="Century" w:hAnsi="Century" w:hint="eastAsia"/>
          <w:rtl/>
        </w:rPr>
        <w:t>ח</w:t>
      </w:r>
      <w:r w:rsidR="00F32D33">
        <w:rPr>
          <w:rFonts w:ascii="Century" w:hAnsi="Century"/>
          <w:rtl/>
        </w:rPr>
        <w:t xml:space="preserve"> </w:t>
      </w:r>
      <w:r w:rsidR="00F32D33">
        <w:rPr>
          <w:rFonts w:ascii="Century" w:hAnsi="Century" w:hint="eastAsia"/>
          <w:rtl/>
        </w:rPr>
        <w:t>בתמוז</w:t>
      </w:r>
      <w:r w:rsidR="00F32D33">
        <w:rPr>
          <w:rFonts w:ascii="Century" w:hAnsi="Century"/>
          <w:rtl/>
        </w:rPr>
        <w:t xml:space="preserve"> </w:t>
      </w:r>
      <w:proofErr w:type="spellStart"/>
      <w:r w:rsidR="00F32D33">
        <w:rPr>
          <w:rFonts w:ascii="Century" w:hAnsi="Century" w:hint="eastAsia"/>
          <w:rtl/>
        </w:rPr>
        <w:t>התשפ</w:t>
      </w:r>
      <w:r w:rsidR="00F32D33">
        <w:rPr>
          <w:rFonts w:ascii="Century" w:hAnsi="Century"/>
          <w:rtl/>
        </w:rPr>
        <w:t>"</w:t>
      </w:r>
      <w:r w:rsidR="00F32D33">
        <w:rPr>
          <w:rFonts w:ascii="Century" w:hAnsi="Century" w:hint="eastAsia"/>
          <w:rtl/>
        </w:rPr>
        <w:t>ג</w:t>
      </w:r>
      <w:proofErr w:type="spellEnd"/>
      <w:r w:rsidR="00F32D33">
        <w:rPr>
          <w:rFonts w:ascii="Century" w:hAnsi="Century"/>
          <w:rtl/>
        </w:rPr>
        <w:t xml:space="preserve"> (</w:t>
      </w:r>
      <w:r w:rsidR="00F32D33">
        <w:rPr>
          <w:rFonts w:ascii="Century" w:hAnsi="Century" w:hint="eastAsia"/>
          <w:rtl/>
        </w:rPr>
        <w:t>‏</w:t>
      </w:r>
      <w:r w:rsidR="00F32D33">
        <w:rPr>
          <w:rFonts w:ascii="Century" w:hAnsi="Century"/>
          <w:rtl/>
        </w:rPr>
        <w:t>17.7.2023).</w:t>
      </w:r>
    </w:p>
    <w:p w:rsidR="00F32D33" w:rsidRDefault="00F32D33" w:rsidP="00F32D33">
      <w:pPr>
        <w:pStyle w:val="Ruller41"/>
        <w:rPr>
          <w:rFonts w:ascii="Century" w:hAnsi="Century"/>
          <w:rtl/>
        </w:rPr>
      </w:pPr>
    </w:p>
    <w:p w:rsidR="00F10301" w:rsidRDefault="002539E8" w:rsidP="002539E8">
      <w:pPr>
        <w:pStyle w:val="Ruller41"/>
        <w:rPr>
          <w:rFonts w:ascii="Century" w:hAnsi="Century"/>
          <w:rtl/>
        </w:rPr>
      </w:pPr>
      <w:r>
        <w:rPr>
          <w:rFonts w:ascii="Century" w:hAnsi="Century"/>
          <w:rtl/>
        </w:rPr>
        <w:tab/>
      </w:r>
    </w:p>
    <w:p w:rsidR="002539E8" w:rsidRPr="00DB1AA8" w:rsidRDefault="002539E8" w:rsidP="002539E8">
      <w:pPr>
        <w:pStyle w:val="Ruller41"/>
        <w:rPr>
          <w:rFonts w:ascii="Century" w:hAnsi="Century"/>
          <w:rtl/>
        </w:rPr>
      </w:pPr>
    </w:p>
    <w:tbl>
      <w:tblPr>
        <w:bidiVisual/>
        <w:tblW w:w="8363" w:type="dxa"/>
        <w:tblLook w:val="01E0" w:firstRow="1" w:lastRow="1" w:firstColumn="1" w:lastColumn="1" w:noHBand="0" w:noVBand="0"/>
      </w:tblPr>
      <w:tblGrid>
        <w:gridCol w:w="2787"/>
        <w:gridCol w:w="2788"/>
        <w:gridCol w:w="2788"/>
      </w:tblGrid>
      <w:tr w:rsidR="00DB6151" w:rsidTr="00F10301">
        <w:tc>
          <w:tcPr>
            <w:tcW w:w="2787" w:type="dxa"/>
            <w:shd w:val="clear" w:color="auto" w:fill="auto"/>
          </w:tcPr>
          <w:p w:rsidR="00DB6151" w:rsidRDefault="00DB6151" w:rsidP="00F84999">
            <w:pPr>
              <w:pStyle w:val="Ruller41"/>
              <w:rPr>
                <w:rtl/>
              </w:rPr>
            </w:pPr>
            <w:r>
              <w:rPr>
                <w:rtl/>
              </w:rPr>
              <w:t>ש ו פ ט</w:t>
            </w:r>
          </w:p>
        </w:tc>
        <w:tc>
          <w:tcPr>
            <w:tcW w:w="2788" w:type="dxa"/>
            <w:shd w:val="clear" w:color="auto" w:fill="auto"/>
          </w:tcPr>
          <w:p w:rsidR="00DB6151" w:rsidRDefault="00DB6151" w:rsidP="00F84999">
            <w:pPr>
              <w:pStyle w:val="Ruller41"/>
              <w:jc w:val="center"/>
              <w:rPr>
                <w:rtl/>
              </w:rPr>
            </w:pPr>
            <w:r>
              <w:rPr>
                <w:rtl/>
              </w:rPr>
              <w:t>ש ו פ ט ת</w:t>
            </w:r>
          </w:p>
        </w:tc>
        <w:tc>
          <w:tcPr>
            <w:tcW w:w="2788" w:type="dxa"/>
            <w:shd w:val="clear" w:color="auto" w:fill="auto"/>
          </w:tcPr>
          <w:p w:rsidR="00DB6151" w:rsidRDefault="00DB6151" w:rsidP="00F84999">
            <w:pPr>
              <w:pStyle w:val="Ruller41"/>
              <w:jc w:val="right"/>
              <w:rPr>
                <w:rtl/>
              </w:rPr>
            </w:pPr>
            <w:r>
              <w:rPr>
                <w:rtl/>
              </w:rPr>
              <w:t>ש ו פ ט</w:t>
            </w:r>
          </w:p>
        </w:tc>
      </w:tr>
    </w:tbl>
    <w:p w:rsidR="00F10301" w:rsidRDefault="00F10301" w:rsidP="00DB6151">
      <w:pPr>
        <w:rPr>
          <w:szCs w:val="16"/>
          <w:rtl/>
        </w:rPr>
      </w:pPr>
    </w:p>
    <w:p w:rsidR="00DB6151" w:rsidRDefault="00DB6151" w:rsidP="00DB6151">
      <w:pPr>
        <w:rPr>
          <w:szCs w:val="16"/>
          <w:rtl/>
        </w:rPr>
      </w:pPr>
      <w:r>
        <w:rPr>
          <w:szCs w:val="16"/>
          <w:rtl/>
        </w:rPr>
        <w:t>_________________</w:t>
      </w:r>
      <w:r>
        <w:rPr>
          <w:rFonts w:hint="cs"/>
          <w:szCs w:val="16"/>
          <w:rtl/>
        </w:rPr>
        <w:t>________</w:t>
      </w:r>
    </w:p>
    <w:p w:rsidR="00DB6151" w:rsidRDefault="004A50A3" w:rsidP="004A50A3">
      <w:pPr>
        <w:pStyle w:val="Ruller38"/>
        <w:rPr>
          <w:rtl/>
        </w:rPr>
      </w:pPr>
      <w:r>
        <w:rPr>
          <w:sz w:val="16"/>
        </w:rPr>
        <w:t xml:space="preserve">   </w:t>
      </w:r>
      <w:proofErr w:type="gramStart"/>
      <w:r>
        <w:rPr>
          <w:sz w:val="16"/>
        </w:rPr>
        <w:t xml:space="preserve">22038230_C18.docx  </w:t>
      </w:r>
      <w:r w:rsidR="00F32D33">
        <w:rPr>
          <w:rFonts w:hint="cs"/>
          <w:rtl/>
        </w:rPr>
        <w:t>אל</w:t>
      </w:r>
      <w:proofErr w:type="gramEnd"/>
    </w:p>
    <w:p w:rsidR="00DB6151" w:rsidRPr="00FC0252" w:rsidRDefault="00DB6151" w:rsidP="00DB6151">
      <w:pPr>
        <w:pStyle w:val="Ruller38"/>
        <w:rPr>
          <w:rtl/>
        </w:rPr>
      </w:pPr>
      <w:r>
        <w:rPr>
          <w:rtl/>
        </w:rPr>
        <w:t>מרכז מידע, טל'</w:t>
      </w:r>
      <w:r>
        <w:rPr>
          <w:rFonts w:hint="cs"/>
          <w:rtl/>
        </w:rPr>
        <w:t xml:space="preserve"> 077-2703333, 3852* ; אתר אינטרנט,  </w:t>
      </w:r>
      <w:hyperlink r:id="rId8" w:history="1">
        <w:r w:rsidRPr="00BB4C68">
          <w:rPr>
            <w:rStyle w:val="Hyperlink"/>
            <w:sz w:val="16"/>
          </w:rPr>
          <w:t>https://supreme.court.gov.il</w:t>
        </w:r>
      </w:hyperlink>
    </w:p>
    <w:p w:rsidR="00DB6151" w:rsidRDefault="00DB6151" w:rsidP="00DB6151">
      <w:pPr>
        <w:pStyle w:val="Ruller38"/>
        <w:rPr>
          <w:rtl/>
        </w:rPr>
      </w:pPr>
    </w:p>
    <w:p w:rsidR="00591983" w:rsidRPr="00FC0252" w:rsidRDefault="00591983" w:rsidP="00FC0252">
      <w:pPr>
        <w:pStyle w:val="Ruller38"/>
        <w:rPr>
          <w:rtl/>
        </w:rPr>
      </w:pPr>
    </w:p>
    <w:p w:rsidR="003F1F97" w:rsidRDefault="003F1F97" w:rsidP="00591983">
      <w:pPr>
        <w:pStyle w:val="Ruller38"/>
        <w:rPr>
          <w:rtl/>
        </w:rPr>
      </w:pPr>
    </w:p>
    <w:sectPr w:rsidR="003F1F97"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A30" w:rsidRDefault="007B0A30">
      <w:r>
        <w:separator/>
      </w:r>
    </w:p>
  </w:endnote>
  <w:endnote w:type="continuationSeparator" w:id="0">
    <w:p w:rsidR="007B0A30" w:rsidRDefault="007B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585" w:rsidRDefault="00227585">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A30" w:rsidRDefault="007B0A30">
      <w:r>
        <w:separator/>
      </w:r>
    </w:p>
  </w:footnote>
  <w:footnote w:type="continuationSeparator" w:id="0">
    <w:p w:rsidR="007B0A30" w:rsidRDefault="007B0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70440B">
      <w:rPr>
        <w:rStyle w:val="a4"/>
        <w:noProof/>
        <w:rtl/>
      </w:rPr>
      <w:t>21</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F930F1"/>
    <w:multiLevelType w:val="multilevel"/>
    <w:tmpl w:val="04090021"/>
    <w:lvl w:ilvl="0">
      <w:start w:val="1"/>
      <w:numFmt w:val="hebrew1"/>
      <w:lvlText w:val="%1."/>
      <w:lvlJc w:val="center"/>
      <w:pPr>
        <w:ind w:left="360" w:hanging="360"/>
      </w:pPr>
      <w:rPr>
        <w:rFonts w:hint="default"/>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2"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923AB4"/>
    <w:multiLevelType w:val="hybridMultilevel"/>
    <w:tmpl w:val="A27E53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981119"/>
    <w:multiLevelType w:val="hybridMultilevel"/>
    <w:tmpl w:val="39C49134"/>
    <w:lvl w:ilvl="0" w:tplc="F870829E">
      <w:start w:val="1"/>
      <w:numFmt w:val="decimal"/>
      <w:lvlText w:val="%1."/>
      <w:lvlJc w:val="left"/>
      <w:pPr>
        <w:ind w:left="720" w:hanging="360"/>
      </w:pPr>
      <w:rPr>
        <w:lang w:val="en-US"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B40BD5"/>
    <w:multiLevelType w:val="hybridMultilevel"/>
    <w:tmpl w:val="39C49134"/>
    <w:lvl w:ilvl="0" w:tplc="F870829E">
      <w:start w:val="1"/>
      <w:numFmt w:val="decimal"/>
      <w:lvlText w:val="%1."/>
      <w:lvlJc w:val="left"/>
      <w:pPr>
        <w:ind w:left="720" w:hanging="360"/>
      </w:pPr>
      <w:rPr>
        <w:lang w:val="en-US"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2"/>
  </w:num>
  <w:num w:numId="13">
    <w:abstractNumId w:val="14"/>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725F5"/>
    <w:rsid w:val="00072AD2"/>
    <w:rsid w:val="000B1478"/>
    <w:rsid w:val="000C4690"/>
    <w:rsid w:val="000D25C4"/>
    <w:rsid w:val="00134A67"/>
    <w:rsid w:val="00147365"/>
    <w:rsid w:val="001A0164"/>
    <w:rsid w:val="00200D6B"/>
    <w:rsid w:val="00227585"/>
    <w:rsid w:val="002503F1"/>
    <w:rsid w:val="002539E8"/>
    <w:rsid w:val="00265F6E"/>
    <w:rsid w:val="002801EB"/>
    <w:rsid w:val="002876BF"/>
    <w:rsid w:val="002A4A7A"/>
    <w:rsid w:val="002A4BF3"/>
    <w:rsid w:val="002F7BB6"/>
    <w:rsid w:val="003448B2"/>
    <w:rsid w:val="003601EA"/>
    <w:rsid w:val="00361DB2"/>
    <w:rsid w:val="0037622E"/>
    <w:rsid w:val="00377102"/>
    <w:rsid w:val="0039709B"/>
    <w:rsid w:val="003D72DA"/>
    <w:rsid w:val="003F1F97"/>
    <w:rsid w:val="0041048F"/>
    <w:rsid w:val="00413C78"/>
    <w:rsid w:val="004356B2"/>
    <w:rsid w:val="00437D59"/>
    <w:rsid w:val="004610A4"/>
    <w:rsid w:val="00484CB6"/>
    <w:rsid w:val="004A50A3"/>
    <w:rsid w:val="004B29FF"/>
    <w:rsid w:val="004C7868"/>
    <w:rsid w:val="004D1EFF"/>
    <w:rsid w:val="00503A3E"/>
    <w:rsid w:val="00527F02"/>
    <w:rsid w:val="005803E2"/>
    <w:rsid w:val="00580E3D"/>
    <w:rsid w:val="0058440A"/>
    <w:rsid w:val="00591983"/>
    <w:rsid w:val="00624A42"/>
    <w:rsid w:val="0065522F"/>
    <w:rsid w:val="006A30F7"/>
    <w:rsid w:val="006C42AD"/>
    <w:rsid w:val="0070440B"/>
    <w:rsid w:val="00725345"/>
    <w:rsid w:val="00741CC0"/>
    <w:rsid w:val="007B0A30"/>
    <w:rsid w:val="007B512F"/>
    <w:rsid w:val="007F7512"/>
    <w:rsid w:val="00810894"/>
    <w:rsid w:val="008143AB"/>
    <w:rsid w:val="0083345F"/>
    <w:rsid w:val="00836667"/>
    <w:rsid w:val="00866D0F"/>
    <w:rsid w:val="00872906"/>
    <w:rsid w:val="008B1626"/>
    <w:rsid w:val="008B3895"/>
    <w:rsid w:val="008C2F11"/>
    <w:rsid w:val="008D78B9"/>
    <w:rsid w:val="008E3F85"/>
    <w:rsid w:val="009051E8"/>
    <w:rsid w:val="00914156"/>
    <w:rsid w:val="00916FF8"/>
    <w:rsid w:val="00922093"/>
    <w:rsid w:val="00930C85"/>
    <w:rsid w:val="00956194"/>
    <w:rsid w:val="009B38DA"/>
    <w:rsid w:val="009F2F53"/>
    <w:rsid w:val="009F4187"/>
    <w:rsid w:val="00A12E0F"/>
    <w:rsid w:val="00A22EF8"/>
    <w:rsid w:val="00A51FAE"/>
    <w:rsid w:val="00A80845"/>
    <w:rsid w:val="00AB69F7"/>
    <w:rsid w:val="00AD097B"/>
    <w:rsid w:val="00AD64B9"/>
    <w:rsid w:val="00AE022B"/>
    <w:rsid w:val="00B009CC"/>
    <w:rsid w:val="00B0782A"/>
    <w:rsid w:val="00B62B8C"/>
    <w:rsid w:val="00B63343"/>
    <w:rsid w:val="00B87FF7"/>
    <w:rsid w:val="00BA0B08"/>
    <w:rsid w:val="00BC0E82"/>
    <w:rsid w:val="00BD40F9"/>
    <w:rsid w:val="00BE5BDA"/>
    <w:rsid w:val="00C41C86"/>
    <w:rsid w:val="00C63A6C"/>
    <w:rsid w:val="00CA13AF"/>
    <w:rsid w:val="00CA1444"/>
    <w:rsid w:val="00CB1590"/>
    <w:rsid w:val="00CB7600"/>
    <w:rsid w:val="00CC0E9D"/>
    <w:rsid w:val="00CC3639"/>
    <w:rsid w:val="00D00B1D"/>
    <w:rsid w:val="00D00CB7"/>
    <w:rsid w:val="00D06F5A"/>
    <w:rsid w:val="00D25F16"/>
    <w:rsid w:val="00DB6151"/>
    <w:rsid w:val="00E21CA9"/>
    <w:rsid w:val="00E31063"/>
    <w:rsid w:val="00E36FE9"/>
    <w:rsid w:val="00E464F1"/>
    <w:rsid w:val="00E73E98"/>
    <w:rsid w:val="00E75223"/>
    <w:rsid w:val="00E90D72"/>
    <w:rsid w:val="00EA0BE1"/>
    <w:rsid w:val="00EC23AC"/>
    <w:rsid w:val="00EC2992"/>
    <w:rsid w:val="00EC6AF4"/>
    <w:rsid w:val="00ED46A4"/>
    <w:rsid w:val="00ED6FD9"/>
    <w:rsid w:val="00EE3810"/>
    <w:rsid w:val="00F10301"/>
    <w:rsid w:val="00F32D33"/>
    <w:rsid w:val="00F63C3B"/>
    <w:rsid w:val="00F940A3"/>
    <w:rsid w:val="00F959DB"/>
    <w:rsid w:val="00FC02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F1048A5-E2DB-44C6-85AA-C7400B8B6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qFormat/>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1"/>
    <w:next w:val="Ruller41"/>
    <w:link w:val="Ruller43"/>
    <w:rsid w:val="004D1EFF"/>
    <w:pPr>
      <w:numPr>
        <w:numId w:val="11"/>
      </w:numPr>
    </w:pPr>
    <w:rPr>
      <w:rFonts w:ascii="Garamond" w:hAnsi="Garamond"/>
      <w:sz w:val="24"/>
    </w:rPr>
  </w:style>
  <w:style w:type="paragraph" w:customStyle="1" w:styleId="Ruller40">
    <w:name w:val="Ruller4 אלפביתי"/>
    <w:basedOn w:val="Ruller41"/>
    <w:next w:val="Ruller41"/>
    <w:rsid w:val="004D1EFF"/>
    <w:pPr>
      <w:numPr>
        <w:numId w:val="12"/>
      </w:numPr>
    </w:pPr>
  </w:style>
  <w:style w:type="character" w:customStyle="1" w:styleId="Ruller42">
    <w:name w:val="Ruller4 תו"/>
    <w:basedOn w:val="a0"/>
    <w:link w:val="Ruller41"/>
    <w:rsid w:val="004D1EFF"/>
    <w:rPr>
      <w:rFonts w:ascii="Arial TUR" w:hAnsi="Arial TUR" w:cs="FrankRuehl"/>
      <w:spacing w:val="10"/>
      <w:sz w:val="22"/>
      <w:szCs w:val="28"/>
    </w:rPr>
  </w:style>
  <w:style w:type="paragraph" w:customStyle="1" w:styleId="1">
    <w:name w:val="פיסקת רשימה1"/>
    <w:basedOn w:val="a"/>
    <w:uiPriority w:val="34"/>
    <w:qFormat/>
    <w:rsid w:val="004D1EFF"/>
    <w:pPr>
      <w:overflowPunct/>
      <w:autoSpaceDE/>
      <w:autoSpaceDN/>
      <w:bidi w:val="0"/>
      <w:adjustRightInd/>
      <w:spacing w:line="360" w:lineRule="auto"/>
      <w:ind w:left="720"/>
      <w:textAlignment w:val="auto"/>
    </w:pPr>
    <w:rPr>
      <w:rFonts w:cs="FrankRuehl"/>
      <w:sz w:val="28"/>
      <w:szCs w:val="20"/>
    </w:rPr>
  </w:style>
  <w:style w:type="paragraph" w:styleId="ae">
    <w:name w:val="List Paragraph"/>
    <w:basedOn w:val="a"/>
    <w:uiPriority w:val="34"/>
    <w:qFormat/>
    <w:rsid w:val="004D1EFF"/>
    <w:pPr>
      <w:spacing w:line="360" w:lineRule="auto"/>
      <w:ind w:left="720"/>
      <w:contextualSpacing/>
    </w:pPr>
    <w:rPr>
      <w:rFonts w:ascii="Century" w:hAnsi="Century" w:cs="FrankRuehl"/>
      <w:spacing w:val="10"/>
      <w:szCs w:val="28"/>
    </w:rPr>
  </w:style>
  <w:style w:type="paragraph" w:customStyle="1" w:styleId="ruller44">
    <w:name w:val="ruller4"/>
    <w:basedOn w:val="a"/>
    <w:rsid w:val="004D1EFF"/>
    <w:pPr>
      <w:overflowPunct/>
      <w:autoSpaceDE/>
      <w:autoSpaceDN/>
      <w:bidi w:val="0"/>
      <w:adjustRightInd/>
      <w:spacing w:before="100" w:beforeAutospacing="1" w:after="100" w:afterAutospacing="1"/>
      <w:textAlignment w:val="auto"/>
    </w:pPr>
    <w:rPr>
      <w:rFonts w:cs="Times New Roman"/>
      <w:sz w:val="24"/>
    </w:rPr>
  </w:style>
  <w:style w:type="character" w:customStyle="1" w:styleId="term1">
    <w:name w:val="term_1"/>
    <w:basedOn w:val="a0"/>
    <w:rsid w:val="004D1EFF"/>
  </w:style>
  <w:style w:type="character" w:customStyle="1" w:styleId="Ruller43">
    <w:name w:val="Ruller 4 ממוספר תו"/>
    <w:basedOn w:val="a0"/>
    <w:link w:val="Ruller4"/>
    <w:locked/>
    <w:rsid w:val="004D1EFF"/>
    <w:rPr>
      <w:rFonts w:ascii="Garamond" w:hAnsi="Garamond" w:cs="FrankRuehl"/>
      <w:spacing w:val="10"/>
      <w:sz w:val="24"/>
      <w:szCs w:val="28"/>
    </w:rPr>
  </w:style>
  <w:style w:type="paragraph" w:styleId="af">
    <w:name w:val="Revision"/>
    <w:hidden/>
    <w:uiPriority w:val="99"/>
    <w:semiHidden/>
    <w:rsid w:val="004D1EFF"/>
    <w:rPr>
      <w:rFonts w:ascii="Century" w:hAnsi="Century"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9866</Words>
  <Characters>49330</Characters>
  <Application>Microsoft Office Word</Application>
  <DocSecurity>0</DocSecurity>
  <Lines>411</Lines>
  <Paragraphs>118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59078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רותם כהן</cp:lastModifiedBy>
  <cp:revision>2</cp:revision>
  <cp:lastPrinted>2023-07-17T16:03:00Z</cp:lastPrinted>
  <dcterms:created xsi:type="dcterms:W3CDTF">2023-07-18T07:02:00Z</dcterms:created>
  <dcterms:modified xsi:type="dcterms:W3CDTF">2023-07-18T07:02:00Z</dcterms:modified>
</cp:coreProperties>
</file>